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eastAsia="宋体"/>
          <w:b/>
          <w:bCs/>
          <w:color w:val="FF0000"/>
          <w:sz w:val="72"/>
          <w:szCs w:val="72"/>
        </w:rPr>
      </w:pPr>
      <w:r>
        <w:rPr>
          <w:rFonts w:hint="eastAsia" w:eastAsia="宋体"/>
          <w:b/>
          <w:bCs/>
          <w:color w:val="FF0000"/>
          <w:sz w:val="72"/>
          <w:szCs w:val="72"/>
        </w:rPr>
        <w:t>中国人生科学学会</w:t>
      </w:r>
    </w:p>
    <w:p>
      <w:pPr>
        <w:jc w:val="distribute"/>
        <w:rPr>
          <w:rFonts w:eastAsia="宋体"/>
          <w:b/>
          <w:bCs/>
          <w:color w:val="FF0000"/>
          <w:sz w:val="72"/>
          <w:szCs w:val="72"/>
        </w:rPr>
      </w:pPr>
      <w:r>
        <w:rPr>
          <w:rFonts w:hint="eastAsia" w:eastAsia="宋体"/>
          <w:b/>
          <w:bCs/>
          <w:color w:val="FF0000"/>
          <w:sz w:val="72"/>
          <w:szCs w:val="72"/>
        </w:rPr>
        <w:t>学生发展指导专业委员会</w:t>
      </w:r>
    </w:p>
    <w:p>
      <w:pPr>
        <w:jc w:val="distribute"/>
        <w:rPr>
          <w:rFonts w:eastAsia="宋体"/>
          <w:b/>
          <w:bCs/>
          <w:color w:val="FF0000"/>
          <w:sz w:val="72"/>
          <w:szCs w:val="72"/>
        </w:rPr>
      </w:pPr>
      <w:r>
        <w:rPr>
          <w:rFonts w:eastAsia="宋体"/>
          <w:b/>
          <w:bCs/>
          <w:color w:val="FF0000"/>
          <w:sz w:val="72"/>
          <w:szCs w:val="72"/>
          <w:lang w:val="zh-CN"/>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515620</wp:posOffset>
                </wp:positionV>
                <wp:extent cx="5943600" cy="635"/>
                <wp:effectExtent l="0" t="0" r="0" b="0"/>
                <wp:wrapNone/>
                <wp:docPr id="1" name="Line 2"/>
                <wp:cNvGraphicFramePr/>
                <a:graphic xmlns:a="http://schemas.openxmlformats.org/drawingml/2006/main">
                  <a:graphicData uri="http://schemas.microsoft.com/office/word/2010/wordprocessingShape">
                    <wps:wsp>
                      <wps:cNvCnPr/>
                      <wps:spPr>
                        <a:xfrm>
                          <a:off x="0" y="0"/>
                          <a:ext cx="5943600"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1.2pt;margin-top:40.6pt;height:0.05pt;width:468pt;z-index:251660288;mso-width-relative:page;mso-height-relative:page;" filled="f" stroked="t" coordsize="21600,21600" o:gfxdata="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S/iutcAAAAIAQAADwAAAAAAAAABACAAAAAiAAAAZHJzL2Rv&#10;d25yZXYueG1sUEsBAhQAFAAAAAgAh07iQOndawzJAQAAnAMAAA4AAAAAAAAAAQAgAAAAJgEAAGRy&#10;cy9lMm9Eb2MueG1sUEsFBgAAAAAGAAYAWQEAAGEFAAAAAA==&#10;">
                <v:fill on="f" focussize="0,0"/>
                <v:stroke weight="2.25pt" color="#FF0000" joinstyle="round"/>
                <v:imagedata o:title=""/>
                <o:lock v:ext="edit" aspectratio="f"/>
              </v:line>
            </w:pict>
          </mc:Fallback>
        </mc:AlternateContent>
      </w:r>
      <w:r>
        <w:rPr>
          <w:rFonts w:hint="eastAsia" w:eastAsia="宋体"/>
          <w:b/>
          <w:bCs/>
          <w:color w:val="FF0000"/>
          <w:sz w:val="72"/>
          <w:szCs w:val="72"/>
        </w:rPr>
        <w:t>中国学校生涯规划教育网</w:t>
      </w:r>
    </w:p>
    <w:p>
      <w:pPr>
        <w:spacing w:beforeLines="50" w:afterLines="50"/>
        <w:jc w:val="distribute"/>
        <w:rPr>
          <w:rFonts w:hint="eastAsia" w:eastAsiaTheme="minorEastAsia"/>
          <w:b/>
          <w:bCs/>
          <w:sz w:val="32"/>
          <w:szCs w:val="32"/>
          <w:lang w:eastAsia="zh-CN"/>
        </w:rPr>
      </w:pPr>
      <w:r>
        <w:rPr>
          <w:rFonts w:hint="eastAsia"/>
          <w:b/>
          <w:bCs/>
          <w:sz w:val="32"/>
          <w:szCs w:val="32"/>
          <w:lang w:val="en-US" w:eastAsia="zh-CN"/>
        </w:rPr>
        <w:t xml:space="preserve">  </w:t>
      </w:r>
      <w:r>
        <w:rPr>
          <w:rFonts w:hint="eastAsia"/>
          <w:b/>
          <w:bCs/>
          <w:sz w:val="32"/>
          <w:szCs w:val="32"/>
        </w:rPr>
        <w:t>关于</w:t>
      </w:r>
      <w:r>
        <w:rPr>
          <w:rFonts w:hint="eastAsia"/>
          <w:b/>
          <w:bCs/>
          <w:sz w:val="32"/>
          <w:szCs w:val="32"/>
          <w:lang w:eastAsia="zh-CN"/>
        </w:rPr>
        <w:t>召开</w:t>
      </w:r>
      <w:r>
        <w:rPr>
          <w:rFonts w:hint="eastAsia"/>
          <w:b/>
          <w:bCs/>
          <w:sz w:val="32"/>
          <w:szCs w:val="32"/>
        </w:rPr>
        <w:t>全国第</w:t>
      </w:r>
      <w:r>
        <w:rPr>
          <w:rFonts w:hint="eastAsia"/>
          <w:b/>
          <w:bCs/>
          <w:sz w:val="32"/>
          <w:szCs w:val="32"/>
          <w:lang w:eastAsia="zh-CN"/>
        </w:rPr>
        <w:t>七</w:t>
      </w:r>
      <w:r>
        <w:rPr>
          <w:rFonts w:hint="eastAsia"/>
          <w:b/>
          <w:bCs/>
          <w:sz w:val="32"/>
          <w:szCs w:val="32"/>
        </w:rPr>
        <w:t>期“高考志愿咨询师”岗位能力培训</w:t>
      </w:r>
      <w:r>
        <w:rPr>
          <w:rFonts w:hint="eastAsia"/>
          <w:b/>
          <w:bCs/>
          <w:sz w:val="32"/>
          <w:szCs w:val="32"/>
          <w:lang w:eastAsia="zh-CN"/>
        </w:rPr>
        <w:t>的</w:t>
      </w:r>
      <w:r>
        <w:rPr>
          <w:rFonts w:hint="eastAsia"/>
          <w:b/>
          <w:bCs/>
          <w:sz w:val="32"/>
          <w:szCs w:val="32"/>
        </w:rPr>
        <w:t>通知</w:t>
      </w:r>
    </w:p>
    <w:p>
      <w:pPr>
        <w:spacing w:line="380" w:lineRule="exact"/>
        <w:ind w:firstLine="3080" w:firstLineChars="1100"/>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val="0"/>
          <w:bCs/>
          <w:sz w:val="28"/>
          <w:szCs w:val="28"/>
          <w:lang w:eastAsia="zh-CN"/>
        </w:rPr>
        <w:t>地点： 四川·成都·5月12日</w:t>
      </w:r>
    </w:p>
    <w:p>
      <w:pPr>
        <w:spacing w:line="380" w:lineRule="exact"/>
        <w:ind w:firstLine="560" w:firstLineChars="200"/>
        <w:rPr>
          <w:rFonts w:hint="eastAsia" w:ascii="楷体_GB2312" w:hAnsi="楷体_GB2312" w:eastAsia="楷体_GB2312" w:cs="楷体_GB2312"/>
          <w:b w:val="0"/>
          <w:bCs/>
          <w:sz w:val="28"/>
          <w:szCs w:val="28"/>
          <w:lang w:eastAsia="zh-CN"/>
        </w:rPr>
      </w:pPr>
    </w:p>
    <w:p>
      <w:pPr>
        <w:spacing w:line="380" w:lineRule="exact"/>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val="0"/>
          <w:bCs/>
          <w:sz w:val="28"/>
          <w:szCs w:val="28"/>
          <w:lang w:eastAsia="zh-CN"/>
        </w:rPr>
        <w:t>各地教育局、高中、职业学校：</w:t>
      </w:r>
    </w:p>
    <w:p>
      <w:pPr>
        <w:spacing w:line="380" w:lineRule="exact"/>
        <w:ind w:firstLine="560" w:firstLineChars="200"/>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val="0"/>
          <w:bCs/>
          <w:sz w:val="28"/>
          <w:szCs w:val="28"/>
          <w:lang w:eastAsia="zh-CN"/>
        </w:rPr>
        <w:t>每年的高考牵动着全中国千</w:t>
      </w:r>
      <w:bookmarkStart w:id="0" w:name="_GoBack"/>
      <w:bookmarkEnd w:id="0"/>
      <w:r>
        <w:rPr>
          <w:rFonts w:hint="eastAsia" w:ascii="楷体_GB2312" w:hAnsi="楷体_GB2312" w:eastAsia="楷体_GB2312" w:cs="楷体_GB2312"/>
          <w:b w:val="0"/>
          <w:bCs/>
          <w:sz w:val="28"/>
          <w:szCs w:val="28"/>
          <w:lang w:eastAsia="zh-CN"/>
        </w:rPr>
        <w:t>万考生及家长的心，而高考志愿填报更是人生至关重要的选择，对学生一生职业发展有着重要影响。越来越多的学生、家长和教师意识到科学选专业、选大学、报志愿的重要性，希望获得专业的咨询服务。</w:t>
      </w:r>
    </w:p>
    <w:p>
      <w:pPr>
        <w:spacing w:line="380" w:lineRule="exact"/>
        <w:ind w:firstLine="560" w:firstLineChars="200"/>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val="0"/>
          <w:bCs/>
          <w:sz w:val="28"/>
          <w:szCs w:val="28"/>
          <w:lang w:eastAsia="zh-CN"/>
        </w:rPr>
        <w:t>根据《关于深化考试招生制度改革的实施意见》、《国家中长期教育改革和发展规划纲要》，上海、浙江、北京、天津、海南、山东率先启动了新高考改革，至2020年，中国大部分省份都将实行新的高考政策，新高考从形式到内容、从大学录取方式到人才选拔策略都发生了重大变化，对高考志愿咨询行业提出了更高要求。</w:t>
      </w:r>
    </w:p>
    <w:p>
      <w:pPr>
        <w:spacing w:line="380" w:lineRule="exact"/>
        <w:ind w:firstLine="560" w:firstLineChars="200"/>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val="0"/>
          <w:bCs/>
          <w:sz w:val="28"/>
          <w:szCs w:val="28"/>
          <w:lang w:eastAsia="zh-CN"/>
        </w:rPr>
        <w:t>为了提高全国高中高考志愿咨询教师的整体专业水平，培养权威、专业的高考志愿咨询师，中国人生科学学会学生发展指导专业委员会将于</w:t>
      </w:r>
      <w:r>
        <w:rPr>
          <w:rFonts w:hint="eastAsia" w:ascii="楷体_GB2312" w:hAnsi="楷体_GB2312" w:eastAsia="楷体_GB2312" w:cs="楷体_GB2312"/>
          <w:b w:val="0"/>
          <w:bCs/>
          <w:sz w:val="28"/>
          <w:szCs w:val="28"/>
          <w:lang w:val="en-US" w:eastAsia="zh-CN"/>
        </w:rPr>
        <w:t>4月25日在成都召开“第六期全国</w:t>
      </w:r>
      <w:r>
        <w:rPr>
          <w:rFonts w:hint="eastAsia" w:ascii="楷体_GB2312" w:hAnsi="楷体_GB2312" w:eastAsia="楷体_GB2312" w:cs="楷体_GB2312"/>
          <w:b w:val="0"/>
          <w:bCs/>
          <w:sz w:val="28"/>
          <w:szCs w:val="28"/>
          <w:lang w:eastAsia="zh-CN"/>
        </w:rPr>
        <w:t>高考志愿咨询师岗位能力培训班”。</w:t>
      </w:r>
    </w:p>
    <w:p>
      <w:pPr>
        <w:spacing w:line="380" w:lineRule="exact"/>
        <w:ind w:firstLine="560" w:firstLineChars="200"/>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val="0"/>
          <w:bCs/>
          <w:sz w:val="28"/>
          <w:szCs w:val="28"/>
          <w:lang w:eastAsia="zh-CN"/>
        </w:rPr>
        <w:t>本次活动是对新高考背景下高考志愿填报专业人才的深度培训，其活动特点为体验加考核:即每个学员必须完成专家评委的现场出题、填报案例分享、计时答题、分类评比、个体咨询指导等活动内容，达到活动与人才培训深度融合的创新探索目的。相关事宜如下</w:t>
      </w:r>
    </w:p>
    <w:p>
      <w:pPr>
        <w:snapToGrid w:val="0"/>
        <w:rPr>
          <w:rFonts w:ascii="楷体_GB2312" w:hAnsi="楷体_GB2312" w:eastAsia="楷体_GB2312" w:cs="楷体_GB2312"/>
          <w:b/>
          <w:bCs/>
          <w:sz w:val="28"/>
          <w:szCs w:val="28"/>
        </w:rPr>
      </w:pP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主办单位：中国人生科学学会学生发展指导专业委员会    </w:t>
      </w:r>
    </w:p>
    <w:p>
      <w:pPr>
        <w:spacing w:line="38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承办单位：北京成长智慧教育科技有限公司</w:t>
      </w:r>
    </w:p>
    <w:p>
      <w:pPr>
        <w:spacing w:line="380" w:lineRule="exact"/>
        <w:rPr>
          <w:rFonts w:hint="default" w:ascii="楷体_GB2312" w:hAnsi="楷体_GB2312" w:eastAsia="楷体_GB2312" w:cs="楷体_GB2312"/>
          <w:b/>
          <w:bCs/>
          <w:sz w:val="28"/>
          <w:szCs w:val="28"/>
          <w:lang w:val="en-US"/>
        </w:rPr>
      </w:pPr>
      <w:r>
        <w:rPr>
          <w:rFonts w:hint="eastAsia" w:ascii="楷体_GB2312" w:hAnsi="楷体_GB2312" w:eastAsia="楷体_GB2312" w:cs="楷体_GB2312"/>
          <w:b/>
          <w:bCs/>
          <w:sz w:val="28"/>
          <w:szCs w:val="28"/>
          <w:lang w:val="en-US" w:eastAsia="zh-CN"/>
        </w:rPr>
        <w:t xml:space="preserve">          势生涯成都中心  </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支持单位：高考志愿填报与学生未来发展研究总课题组</w:t>
      </w:r>
    </w:p>
    <w:p>
      <w:pPr>
        <w:snapToGrid w:val="0"/>
        <w:ind w:firstLine="1405" w:firstLineChars="500"/>
        <w:rPr>
          <w:rFonts w:hint="eastAsia" w:ascii="楷体" w:hAnsi="楷体" w:eastAsia="楷体"/>
          <w:b/>
          <w:bCs/>
          <w:sz w:val="28"/>
          <w:lang w:val="en-US" w:eastAsia="zh-CN"/>
        </w:rPr>
      </w:pPr>
      <w:r>
        <w:rPr>
          <w:rFonts w:hint="eastAsia" w:ascii="楷体_GB2312" w:hAnsi="楷体_GB2312" w:eastAsia="楷体_GB2312" w:cs="楷体_GB2312"/>
          <w:b/>
          <w:bCs/>
          <w:sz w:val="28"/>
          <w:szCs w:val="28"/>
        </w:rPr>
        <w:t xml:space="preserve">选未来智慧公众号 </w:t>
      </w:r>
      <w:r>
        <w:rPr>
          <w:rFonts w:hint="eastAsia" w:ascii="楷体_GB2312" w:hAnsi="楷体_GB2312" w:eastAsia="楷体_GB2312" w:cs="楷体_GB2312"/>
          <w:b/>
          <w:bCs/>
          <w:sz w:val="28"/>
          <w:szCs w:val="28"/>
          <w:lang w:val="en-US" w:eastAsia="zh-CN"/>
        </w:rPr>
        <w:t xml:space="preserve"> </w:t>
      </w:r>
      <w:r>
        <w:rPr>
          <w:rFonts w:hint="eastAsia" w:ascii="楷体" w:hAnsi="楷体" w:eastAsia="楷体"/>
          <w:b/>
          <w:bCs/>
          <w:sz w:val="28"/>
        </w:rPr>
        <w:t xml:space="preserve"> </w:t>
      </w:r>
    </w:p>
    <w:p>
      <w:pPr>
        <w:spacing w:line="380" w:lineRule="exact"/>
        <w:ind w:firstLine="1405" w:firstLineChars="5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中国学校生涯规划教育网</w:t>
      </w:r>
    </w:p>
    <w:p>
      <w:pPr>
        <w:spacing w:line="380" w:lineRule="exact"/>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 </w:t>
      </w:r>
    </w:p>
    <w:p>
      <w:pPr>
        <w:spacing w:line="380" w:lineRule="exact"/>
        <w:rPr>
          <w:rFonts w:hint="eastAsia" w:ascii="楷体_GB2312" w:hAnsi="楷体_GB2312" w:eastAsia="楷体_GB2312" w:cs="楷体_GB2312"/>
          <w:b/>
          <w:bCs/>
          <w:sz w:val="28"/>
          <w:szCs w:val="28"/>
        </w:rPr>
      </w:pP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一、培训目标</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1、培养专家型高考志愿咨询辅导人才，以提供志愿规划咨询、填报指导等专业服务。</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2、在学生测评理论和规划的理论指导下，系统掌握高考政策和录取规则、，了解全国高校和专业设置，掌握高考志愿填报的技术和高考数据的使用。</w:t>
      </w:r>
    </w:p>
    <w:p>
      <w:pPr>
        <w:spacing w:line="42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3、能有效运用测评</w:t>
      </w:r>
      <w:r>
        <w:rPr>
          <w:rFonts w:hint="eastAsia" w:ascii="楷体_GB2312" w:hAnsi="楷体_GB2312" w:eastAsia="楷体_GB2312" w:cs="楷体_GB2312"/>
          <w:sz w:val="28"/>
          <w:szCs w:val="28"/>
          <w:lang w:eastAsia="zh-CN"/>
        </w:rPr>
        <w:t>技术</w:t>
      </w:r>
      <w:r>
        <w:rPr>
          <w:rFonts w:hint="eastAsia" w:ascii="楷体_GB2312" w:hAnsi="楷体_GB2312" w:eastAsia="楷体_GB2312" w:cs="楷体_GB2312"/>
          <w:sz w:val="28"/>
          <w:szCs w:val="28"/>
        </w:rPr>
        <w:t>和高考志愿杠杆激发学生学习动力，以学生科学发展为目标指导学生的大学规划，提升高考成绩。</w:t>
      </w:r>
    </w:p>
    <w:p>
      <w:pPr>
        <w:snapToGrid w:val="0"/>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4、熟练使用CSCD－学生发展指导云工作平台</w:t>
      </w:r>
      <w:r>
        <w:rPr>
          <w:rFonts w:ascii="楷体_GB2312" w:hAnsi="楷体_GB2312" w:eastAsia="楷体_GB2312" w:cs="楷体_GB2312"/>
          <w:sz w:val="28"/>
          <w:szCs w:val="28"/>
        </w:rPr>
        <w:t>—</w:t>
      </w:r>
      <w:r>
        <w:rPr>
          <w:rFonts w:hint="eastAsia" w:ascii="楷体_GB2312" w:hAnsi="楷体_GB2312" w:eastAsia="楷体_GB2312" w:cs="楷体_GB2312"/>
          <w:sz w:val="28"/>
          <w:szCs w:val="28"/>
        </w:rPr>
        <w:t>帮助老师和学生进行高考志愿填报、高中阶段的3+X选科测评、大学专业目标定位测评、自主招生综合评估、学生生涯发展测评等，解决学生高中选课难、大学专业选择难、高考志愿填报</w:t>
      </w:r>
      <w:r>
        <w:rPr>
          <w:rFonts w:hint="eastAsia" w:ascii="楷体_GB2312" w:hAnsi="楷体_GB2312" w:eastAsia="楷体_GB2312" w:cs="楷体_GB2312"/>
          <w:sz w:val="28"/>
          <w:szCs w:val="28"/>
          <w:lang w:eastAsia="zh-CN"/>
        </w:rPr>
        <w:t>等</w:t>
      </w:r>
      <w:r>
        <w:rPr>
          <w:rFonts w:hint="eastAsia" w:ascii="楷体_GB2312" w:hAnsi="楷体_GB2312" w:eastAsia="楷体_GB2312" w:cs="楷体_GB2312"/>
          <w:sz w:val="28"/>
          <w:szCs w:val="28"/>
        </w:rPr>
        <w:t xml:space="preserve">。 </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二、培训特色</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培训认证</w:t>
      </w:r>
      <w:r>
        <w:rPr>
          <w:rFonts w:hint="eastAsia" w:ascii="楷体_GB2312" w:hAnsi="楷体_GB2312" w:eastAsia="楷体_GB2312" w:cs="楷体_GB2312"/>
          <w:sz w:val="28"/>
          <w:szCs w:val="28"/>
        </w:rPr>
        <w:t>：按照国家级高考志愿咨询师课程体系组织培训，学员学完规定课程并考试合格后，由中国人生科学学会学生发展指导专业委员会颁发全国高中“高考志愿咨询师”岗位能力培训证书。</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师 资</w:t>
      </w:r>
      <w:r>
        <w:rPr>
          <w:rFonts w:hint="eastAsia" w:ascii="楷体_GB2312" w:hAnsi="楷体_GB2312" w:eastAsia="楷体_GB2312" w:cs="楷体_GB2312"/>
          <w:sz w:val="28"/>
          <w:szCs w:val="28"/>
        </w:rPr>
        <w:t>：凝结我国高考志愿研究、大学招生专家、升学规划教育开创者、国际生涯教育大师、国内高考志愿填报优秀从业经验者。</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实操落地技术</w:t>
      </w:r>
      <w:r>
        <w:rPr>
          <w:rFonts w:hint="eastAsia" w:ascii="楷体_GB2312" w:hAnsi="楷体_GB2312" w:eastAsia="楷体_GB2312" w:cs="楷体_GB2312"/>
          <w:sz w:val="28"/>
          <w:szCs w:val="28"/>
        </w:rPr>
        <w:t>：立足本土国情，引入国际先进学生发展指导技术及教学培训理念。互动式、体验式教学，以真实案例分析巩固所学理论和技法。</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个人成长</w:t>
      </w:r>
      <w:r>
        <w:rPr>
          <w:rFonts w:hint="eastAsia" w:ascii="楷体_GB2312" w:hAnsi="楷体_GB2312" w:eastAsia="楷体_GB2312" w:cs="楷体_GB2312"/>
          <w:sz w:val="28"/>
          <w:szCs w:val="28"/>
        </w:rPr>
        <w:t>：</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sz w:val="28"/>
          <w:szCs w:val="28"/>
        </w:rPr>
        <w:t>1、获得学业规划，职业生涯规划及高考报考相关知识体系；</w:t>
      </w:r>
    </w:p>
    <w:p>
      <w:pPr>
        <w:numPr>
          <w:ilvl w:val="0"/>
          <w:numId w:val="1"/>
        </w:num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sz w:val="28"/>
          <w:szCs w:val="28"/>
        </w:rPr>
        <w:t>可获得全国高考志愿咨询师岗位能力培训合格证书，有机会签约中国学生发展指导专业委员会的专家库；</w:t>
      </w:r>
    </w:p>
    <w:p>
      <w:pPr>
        <w:numPr>
          <w:ilvl w:val="0"/>
          <w:numId w:val="1"/>
        </w:num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sz w:val="28"/>
          <w:szCs w:val="28"/>
        </w:rPr>
        <w:t>培训考试合格有机会成为学生发展指导专业委员会高考志愿填报服务平台签约咨询师，进行有偿志愿填报咨询服务；</w:t>
      </w:r>
    </w:p>
    <w:p>
      <w:pPr>
        <w:numPr>
          <w:ilvl w:val="0"/>
          <w:numId w:val="1"/>
        </w:num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sz w:val="28"/>
          <w:szCs w:val="28"/>
        </w:rPr>
        <w:t>项目组邀请优秀学员成为总课题组核心专家，在以后的培训会、研讨会等活动中以专家身份出席活动，并获得课酬！</w:t>
      </w:r>
    </w:p>
    <w:p>
      <w:pPr>
        <w:numPr>
          <w:ilvl w:val="0"/>
          <w:numId w:val="1"/>
        </w:num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sz w:val="28"/>
          <w:szCs w:val="28"/>
        </w:rPr>
        <w:t>可参加各类志愿填报、高校招生等活动的资格。</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三、培训对象：</w:t>
      </w:r>
      <w:r>
        <w:rPr>
          <w:rFonts w:hint="eastAsia" w:ascii="楷体_GB2312" w:hAnsi="楷体_GB2312" w:eastAsia="楷体_GB2312" w:cs="楷体_GB2312"/>
          <w:sz w:val="28"/>
          <w:szCs w:val="28"/>
        </w:rPr>
        <w:t>　　</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教育研究人员，大学和高中教师，心理咨询从业者，职业生涯规划从业者，有志于从事高考志愿填报辅导的人群。　　</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四、培训时间、地点</w:t>
      </w:r>
    </w:p>
    <w:p>
      <w:pPr>
        <w:spacing w:line="380" w:lineRule="exact"/>
        <w:ind w:firstLine="560" w:firstLineChars="200"/>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rPr>
        <w:t>201</w:t>
      </w:r>
      <w:r>
        <w:rPr>
          <w:rFonts w:hint="eastAsia" w:ascii="楷体_GB2312" w:hAnsi="楷体_GB2312" w:eastAsia="楷体_GB2312" w:cs="楷体_GB2312"/>
          <w:sz w:val="28"/>
          <w:szCs w:val="28"/>
          <w:lang w:val="en-US" w:eastAsia="zh-CN"/>
        </w:rPr>
        <w:t>9</w:t>
      </w:r>
      <w:r>
        <w:rPr>
          <w:rFonts w:hint="eastAsia" w:ascii="楷体_GB2312" w:hAnsi="楷体_GB2312" w:eastAsia="楷体_GB2312" w:cs="楷体_GB2312"/>
          <w:sz w:val="28"/>
          <w:szCs w:val="28"/>
        </w:rPr>
        <w:t>年</w:t>
      </w:r>
      <w:r>
        <w:rPr>
          <w:rFonts w:hint="eastAsia" w:ascii="楷体_GB2312" w:hAnsi="楷体_GB2312" w:eastAsia="楷体_GB2312" w:cs="楷体_GB2312"/>
          <w:sz w:val="28"/>
          <w:szCs w:val="28"/>
          <w:lang w:val="en-US" w:eastAsia="zh-CN"/>
        </w:rPr>
        <w:t>5</w:t>
      </w:r>
      <w:r>
        <w:rPr>
          <w:rFonts w:hint="eastAsia" w:ascii="楷体_GB2312" w:hAnsi="楷体_GB2312" w:eastAsia="楷体_GB2312" w:cs="楷体_GB2312"/>
          <w:sz w:val="28"/>
          <w:szCs w:val="28"/>
        </w:rPr>
        <w:t>月</w:t>
      </w:r>
      <w:r>
        <w:rPr>
          <w:rFonts w:hint="eastAsia" w:ascii="楷体_GB2312" w:hAnsi="楷体_GB2312" w:eastAsia="楷体_GB2312" w:cs="楷体_GB2312"/>
          <w:sz w:val="28"/>
          <w:szCs w:val="28"/>
          <w:lang w:val="en-US" w:eastAsia="zh-CN"/>
        </w:rPr>
        <w:t>12</w:t>
      </w:r>
      <w:r>
        <w:rPr>
          <w:rFonts w:hint="eastAsia" w:ascii="楷体_GB2312" w:hAnsi="楷体_GB2312" w:eastAsia="楷体_GB2312" w:cs="楷体_GB2312"/>
          <w:sz w:val="28"/>
          <w:szCs w:val="28"/>
        </w:rPr>
        <w:t>日—</w:t>
      </w:r>
      <w:r>
        <w:rPr>
          <w:rFonts w:hint="eastAsia" w:ascii="楷体_GB2312" w:hAnsi="楷体_GB2312" w:eastAsia="楷体_GB2312" w:cs="楷体_GB2312"/>
          <w:sz w:val="28"/>
          <w:szCs w:val="28"/>
          <w:lang w:val="en-US" w:eastAsia="zh-CN"/>
        </w:rPr>
        <w:t>15</w:t>
      </w:r>
      <w:r>
        <w:rPr>
          <w:rFonts w:hint="eastAsia" w:ascii="楷体_GB2312" w:hAnsi="楷体_GB2312" w:eastAsia="楷体_GB2312" w:cs="楷体_GB2312"/>
          <w:sz w:val="28"/>
          <w:szCs w:val="28"/>
        </w:rPr>
        <w:t>日（</w:t>
      </w:r>
      <w:r>
        <w:rPr>
          <w:rFonts w:hint="eastAsia" w:ascii="楷体_GB2312" w:hAnsi="楷体_GB2312" w:eastAsia="楷体_GB2312" w:cs="楷体_GB2312"/>
          <w:sz w:val="28"/>
          <w:szCs w:val="28"/>
          <w:lang w:val="en-US" w:eastAsia="zh-CN"/>
        </w:rPr>
        <w:t>11</w:t>
      </w:r>
      <w:r>
        <w:rPr>
          <w:rFonts w:hint="eastAsia" w:ascii="楷体_GB2312" w:hAnsi="楷体_GB2312" w:eastAsia="楷体_GB2312" w:cs="楷体_GB2312"/>
          <w:sz w:val="28"/>
          <w:szCs w:val="28"/>
        </w:rPr>
        <w:t>日报到）  地点：</w:t>
      </w:r>
      <w:r>
        <w:rPr>
          <w:rFonts w:hint="eastAsia" w:ascii="楷体_GB2312" w:hAnsi="楷体_GB2312" w:eastAsia="楷体_GB2312" w:cs="楷体_GB2312"/>
          <w:sz w:val="28"/>
          <w:szCs w:val="28"/>
          <w:lang w:eastAsia="zh-CN"/>
        </w:rPr>
        <w:t>成都</w:t>
      </w:r>
    </w:p>
    <w:p>
      <w:pPr>
        <w:spacing w:line="380" w:lineRule="exact"/>
        <w:ind w:firstLine="560" w:firstLineChars="200"/>
        <w:rPr>
          <w:rFonts w:ascii="楷体_GB2312" w:hAnsi="楷体_GB2312" w:eastAsia="楷体_GB2312" w:cs="楷体_GB2312"/>
          <w:b/>
          <w:bCs/>
          <w:sz w:val="28"/>
          <w:szCs w:val="28"/>
        </w:rPr>
      </w:pPr>
      <w:r>
        <w:rPr>
          <w:rFonts w:hint="eastAsia" w:ascii="楷体_GB2312" w:hAnsi="楷体_GB2312" w:eastAsia="楷体_GB2312" w:cs="楷体_GB2312"/>
          <w:sz w:val="28"/>
          <w:szCs w:val="28"/>
        </w:rPr>
        <w:t>注：因培训课程活动以实操为主，所以每期只招生</w:t>
      </w:r>
      <w:r>
        <w:rPr>
          <w:rFonts w:hint="eastAsia" w:ascii="楷体_GB2312" w:hAnsi="楷体_GB2312" w:eastAsia="楷体_GB2312" w:cs="楷体_GB2312"/>
          <w:sz w:val="28"/>
          <w:szCs w:val="28"/>
          <w:lang w:val="en-US" w:eastAsia="zh-CN"/>
        </w:rPr>
        <w:t>80</w:t>
      </w:r>
      <w:r>
        <w:rPr>
          <w:rFonts w:hint="eastAsia" w:ascii="楷体_GB2312" w:hAnsi="楷体_GB2312" w:eastAsia="楷体_GB2312" w:cs="楷体_GB2312"/>
          <w:sz w:val="28"/>
          <w:szCs w:val="28"/>
        </w:rPr>
        <w:t>名学员，额满为止！</w:t>
      </w:r>
    </w:p>
    <w:p>
      <w:pPr>
        <w:spacing w:line="380" w:lineRule="exact"/>
        <w:rPr>
          <w:rFonts w:hint="eastAsia" w:ascii="楷体_GB2312" w:hAnsi="楷体_GB2312" w:eastAsia="楷体_GB2312" w:cs="楷体_GB2312"/>
          <w:b/>
          <w:bCs/>
          <w:sz w:val="28"/>
          <w:szCs w:val="28"/>
        </w:rPr>
      </w:pPr>
    </w:p>
    <w:p>
      <w:pPr>
        <w:spacing w:line="380" w:lineRule="exact"/>
        <w:rPr>
          <w:rFonts w:hint="eastAsia" w:ascii="楷体_GB2312" w:hAnsi="楷体_GB2312" w:eastAsia="楷体_GB2312" w:cs="楷体_GB2312"/>
          <w:b/>
          <w:bCs/>
          <w:sz w:val="28"/>
          <w:szCs w:val="28"/>
        </w:rPr>
      </w:pP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五、课程大纲</w:t>
      </w:r>
    </w:p>
    <w:p>
      <w:pPr>
        <w:spacing w:line="380" w:lineRule="exact"/>
        <w:ind w:firstLine="562" w:firstLineChars="20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第一天</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主题一 ：以高考升学规划为核心的学生发展指导的意义和价值</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从生涯发展看学生发展指导</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高考升学规划师行业发展现状与趋势</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高考招生考试改革新政解读</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新高考背景下高考志愿规划的机遇与挑战</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主题二：高考学生的自我认识与定位</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生涯与测评技术在自我定位中的应用</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显性定位与隐性定位的不同作用</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志愿定向与定位</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主题三： 如何科学选专业</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大学专业设置与解读：学科门类、专业分类</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专业选择的理论依据</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帮助学生了解专业与职业的关系</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高考志愿决策与生涯规划模型</w:t>
      </w:r>
    </w:p>
    <w:p>
      <w:pPr>
        <w:spacing w:line="380" w:lineRule="exact"/>
        <w:ind w:firstLine="562" w:firstLineChars="20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第二天</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主题四 ：如何科学选大学</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中国大学的院校分布与层次类别</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大学与产业发展及就业的关系</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985大学、211大学与部分特色大学</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大学校区、分校与独立学院</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影响选择院校的若干要素及其策略</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主题五 ：基于个人发展的学业规划与志愿填报</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用生涯发展规划引领高考升学规划</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高考志愿与学科选择及学业目标</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全国普通高校的招生政策规定</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提前批次招生：免费师范生/艺术/体育/军事/公安/司法/小语种等</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特殊批次招生：自主招生、高水平艺术团、高水平运动队</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正常批次招生：正常批次一二批、中外合作办学</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非计划内报考：港澳台、出国留学</w:t>
      </w:r>
    </w:p>
    <w:p>
      <w:pPr>
        <w:spacing w:line="380" w:lineRule="exact"/>
        <w:ind w:firstLine="562" w:firstLineChars="200"/>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第三天</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主题六 ：平行志愿的精准解读及其实战操作</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平行志愿及录取的基本原理、录取规则</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平行志愿填报的三个关键区域：冲稳保</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平行志愿填报的风险及典型案例</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志愿填报经典案例分析及模拟实战训练</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主题</w:t>
      </w:r>
      <w:r>
        <w:rPr>
          <w:rFonts w:hint="eastAsia" w:ascii="楷体_GB2312" w:hAnsi="楷体_GB2312" w:eastAsia="楷体_GB2312" w:cs="楷体_GB2312"/>
          <w:sz w:val="28"/>
          <w:szCs w:val="28"/>
          <w:lang w:eastAsia="zh-CN"/>
        </w:rPr>
        <w:t>七</w:t>
      </w:r>
      <w:r>
        <w:rPr>
          <w:rFonts w:hint="eastAsia" w:ascii="楷体_GB2312" w:hAnsi="楷体_GB2312" w:eastAsia="楷体_GB2312" w:cs="楷体_GB2312"/>
          <w:sz w:val="28"/>
          <w:szCs w:val="28"/>
        </w:rPr>
        <w:t xml:space="preserve"> ：高考升学规划师的职业发展</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高考升学规划师必备的素质和能力</w:t>
      </w:r>
    </w:p>
    <w:p>
      <w:pPr>
        <w:spacing w:line="380" w:lineRule="exact"/>
        <w:ind w:firstLine="560" w:firstLineChars="200"/>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高考志愿填报的常见误区</w:t>
      </w:r>
    </w:p>
    <w:p>
      <w:pPr>
        <w:spacing w:line="380" w:lineRule="exact"/>
        <w:ind w:firstLine="560" w:firstLineChars="200"/>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大学新增专业解读</w:t>
      </w:r>
    </w:p>
    <w:p>
      <w:pPr>
        <w:spacing w:line="380" w:lineRule="exact"/>
        <w:ind w:firstLine="560" w:firstLineChars="200"/>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如何利用信息化手段（志愿填报系统）进行志愿填报</w:t>
      </w:r>
    </w:p>
    <w:p>
      <w:pPr>
        <w:spacing w:line="380" w:lineRule="exact"/>
        <w:ind w:firstLine="562" w:firstLineChars="20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第</w:t>
      </w:r>
      <w:r>
        <w:rPr>
          <w:rFonts w:hint="eastAsia" w:ascii="楷体_GB2312" w:hAnsi="楷体_GB2312" w:eastAsia="楷体_GB2312" w:cs="楷体_GB2312"/>
          <w:b/>
          <w:bCs/>
          <w:sz w:val="28"/>
          <w:szCs w:val="28"/>
          <w:lang w:eastAsia="zh-CN"/>
        </w:rPr>
        <w:t>四</w:t>
      </w:r>
      <w:r>
        <w:rPr>
          <w:rFonts w:hint="eastAsia" w:ascii="楷体_GB2312" w:hAnsi="楷体_GB2312" w:eastAsia="楷体_GB2312" w:cs="楷体_GB2312"/>
          <w:b/>
          <w:bCs/>
          <w:sz w:val="28"/>
          <w:szCs w:val="28"/>
        </w:rPr>
        <w:t>天</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主题</w:t>
      </w:r>
      <w:r>
        <w:rPr>
          <w:rFonts w:hint="eastAsia" w:ascii="楷体_GB2312" w:hAnsi="楷体_GB2312" w:eastAsia="楷体_GB2312" w:cs="楷体_GB2312"/>
          <w:sz w:val="28"/>
          <w:szCs w:val="28"/>
          <w:lang w:eastAsia="zh-CN"/>
        </w:rPr>
        <w:t>八</w:t>
      </w:r>
      <w:r>
        <w:rPr>
          <w:rFonts w:hint="eastAsia" w:ascii="楷体_GB2312" w:hAnsi="楷体_GB2312" w:eastAsia="楷体_GB2312" w:cs="楷体_GB2312"/>
          <w:sz w:val="28"/>
          <w:szCs w:val="28"/>
        </w:rPr>
        <w:t>：实战辅导训练</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4—5人小组，各完成1次组内咨询实战练习</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各完成一份辅导报告</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eastAsia="zh-CN"/>
        </w:rPr>
        <w:t>主题九：</w:t>
      </w:r>
      <w:r>
        <w:rPr>
          <w:rFonts w:hint="eastAsia" w:ascii="楷体_GB2312" w:hAnsi="楷体_GB2312" w:eastAsia="楷体_GB2312" w:cs="楷体_GB2312"/>
          <w:sz w:val="28"/>
          <w:szCs w:val="28"/>
        </w:rPr>
        <w:t>高考志愿咨询师知识与技能考核</w:t>
      </w:r>
    </w:p>
    <w:p>
      <w:pPr>
        <w:spacing w:line="380" w:lineRule="exact"/>
        <w:ind w:firstLine="560" w:firstLineChars="200"/>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专家出题、学员展示、评委打分</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六、考试评价、认证体系</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评价主要符合四个条件：</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1、评审专家、与相关导师亲临现场观摩学习过程并给出评价意见。</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w:t>
      </w:r>
      <w:r>
        <w:rPr>
          <w:rFonts w:hint="eastAsia" w:ascii="楷体_GB2312" w:hAnsi="楷体_GB2312" w:eastAsia="楷体_GB2312" w:cs="楷体_GB2312"/>
          <w:sz w:val="28"/>
          <w:szCs w:val="28"/>
          <w:lang w:eastAsia="zh-CN"/>
        </w:rPr>
        <w:t>递交作业：两</w:t>
      </w:r>
      <w:r>
        <w:rPr>
          <w:rFonts w:hint="eastAsia" w:ascii="楷体_GB2312" w:hAnsi="楷体_GB2312" w:eastAsia="楷体_GB2312" w:cs="楷体_GB2312"/>
          <w:sz w:val="28"/>
          <w:szCs w:val="28"/>
        </w:rPr>
        <w:t>个针对学生的高考志愿指导案例（需提交指导日志</w:t>
      </w:r>
      <w:r>
        <w:rPr>
          <w:rFonts w:hint="eastAsia" w:ascii="楷体_GB2312" w:hAnsi="楷体_GB2312" w:eastAsia="楷体_GB2312" w:cs="楷体_GB2312"/>
          <w:sz w:val="28"/>
          <w:szCs w:val="28"/>
          <w:lang w:eastAsia="zh-CN"/>
        </w:rPr>
        <w:t>）</w:t>
      </w:r>
    </w:p>
    <w:p>
      <w:pPr>
        <w:spacing w:line="380" w:lineRule="exact"/>
        <w:ind w:firstLine="840" w:firstLineChars="300"/>
        <w:rPr>
          <w:rFonts w:hint="eastAsia" w:ascii="楷体_GB2312" w:hAnsi="楷体_GB2312" w:eastAsia="楷体_GB2312" w:cs="楷体_GB2312"/>
          <w:b/>
          <w:bCs/>
          <w:sz w:val="28"/>
          <w:szCs w:val="28"/>
        </w:rPr>
      </w:pPr>
      <w:r>
        <w:rPr>
          <w:rFonts w:hint="eastAsia" w:ascii="楷体_GB2312" w:hAnsi="楷体_GB2312" w:eastAsia="楷体_GB2312" w:cs="楷体_GB2312"/>
          <w:sz w:val="28"/>
          <w:szCs w:val="28"/>
          <w:lang w:eastAsia="zh-CN"/>
        </w:rPr>
        <w:t>作业截止时间：</w:t>
      </w:r>
      <w:r>
        <w:rPr>
          <w:rFonts w:hint="eastAsia" w:ascii="楷体_GB2312" w:hAnsi="楷体_GB2312" w:eastAsia="楷体_GB2312" w:cs="楷体_GB2312"/>
          <w:sz w:val="28"/>
          <w:szCs w:val="28"/>
          <w:lang w:val="en-US" w:eastAsia="zh-CN"/>
        </w:rPr>
        <w:t>2019年7月30日日前。</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七、专家导师</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李文辉</w:t>
      </w:r>
      <w:r>
        <w:rPr>
          <w:rFonts w:hint="eastAsia" w:ascii="楷体_GB2312" w:hAnsi="楷体_GB2312" w:eastAsia="楷体_GB2312" w:cs="楷体_GB2312"/>
          <w:b/>
          <w:bCs/>
          <w:sz w:val="28"/>
          <w:szCs w:val="28"/>
          <w:lang w:val="en-US" w:eastAsia="zh-CN"/>
        </w:rPr>
        <w:t xml:space="preserve">  </w:t>
      </w:r>
      <w:r>
        <w:rPr>
          <w:rFonts w:hint="eastAsia" w:ascii="楷体_GB2312" w:hAnsi="楷体_GB2312" w:eastAsia="楷体_GB2312" w:cs="楷体_GB2312"/>
          <w:sz w:val="28"/>
          <w:szCs w:val="28"/>
        </w:rPr>
        <w:t>中国人生科学学会学生发展指导专业委员会理事长</w:t>
      </w:r>
    </w:p>
    <w:p>
      <w:pPr>
        <w:spacing w:line="380" w:lineRule="exact"/>
        <w:ind w:firstLine="1120" w:firstLineChars="400"/>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全国生涯规划教育与学生发展指导研究总课题组负责人</w:t>
      </w:r>
    </w:p>
    <w:p>
      <w:pPr>
        <w:spacing w:line="380" w:lineRule="exact"/>
        <w:rPr>
          <w:rFonts w:hint="eastAsia" w:ascii="楷体_GB2312" w:hAnsi="楷体_GB2312" w:eastAsia="楷体_GB2312" w:cs="楷体_GB2312"/>
          <w:sz w:val="28"/>
          <w:szCs w:val="28"/>
          <w:lang w:eastAsia="zh-CN"/>
        </w:rPr>
      </w:pPr>
      <w:r>
        <w:rPr>
          <w:rFonts w:hint="eastAsia" w:ascii="楷体_GB2312" w:hAnsi="楷体_GB2312" w:eastAsia="楷体_GB2312" w:cs="楷体_GB2312"/>
          <w:b/>
          <w:bCs/>
          <w:sz w:val="28"/>
          <w:szCs w:val="28"/>
          <w:lang w:val="en-US" w:eastAsia="zh-CN"/>
        </w:rPr>
        <w:t xml:space="preserve">        </w:t>
      </w:r>
      <w:r>
        <w:rPr>
          <w:rFonts w:hint="eastAsia" w:ascii="楷体_GB2312" w:hAnsi="楷体_GB2312" w:eastAsia="楷体_GB2312" w:cs="楷体_GB2312"/>
          <w:sz w:val="28"/>
          <w:szCs w:val="28"/>
          <w:lang w:val="en-US" w:eastAsia="zh-CN"/>
        </w:rPr>
        <w:t>中国学校生涯规划教育网专家组组长</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刘崇利（授课导师）</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中国人生科学学会学生发展指导专业委员会理事</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全国高考志愿填报与学生未来发展研究总课题组负责人</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教育部个人教育规划师、山东大学创新创业顾问</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青岛新闻网首席高考志愿咨询师、教育顾问、烟台第一高考志愿填报平台首席高考志愿咨询专家</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 xml:space="preserve">专业从事高考志愿和学生发展指导能力培训工作，有丰富的学生发展指导和高考志愿填报理论和实战经验，对学生发展指导，自主招生，艺术体育类招生，综合素质评价招生有丰富经验。著有《大数据时代的高考志愿法则》作品。 </w:t>
      </w:r>
    </w:p>
    <w:p>
      <w:pPr>
        <w:spacing w:line="420" w:lineRule="exact"/>
        <w:rPr>
          <w:rFonts w:ascii="楷体_GB2312" w:hAnsi="楷体_GB2312" w:eastAsia="楷体_GB2312" w:cs="楷体_GB2312"/>
          <w:sz w:val="28"/>
          <w:szCs w:val="28"/>
        </w:rPr>
      </w:pPr>
      <w:r>
        <w:rPr>
          <w:rFonts w:hint="eastAsia" w:ascii="楷体_GB2312" w:hAnsi="楷体_GB2312" w:eastAsia="楷体_GB2312" w:cs="楷体_GB2312"/>
          <w:b/>
          <w:sz w:val="28"/>
          <w:szCs w:val="28"/>
        </w:rPr>
        <w:t>吴俊</w:t>
      </w:r>
      <w:r>
        <w:rPr>
          <w:rFonts w:hint="eastAsia" w:ascii="楷体_GB2312" w:hAnsi="楷体_GB2312" w:eastAsia="楷体_GB2312" w:cs="楷体_GB2312"/>
          <w:b/>
          <w:sz w:val="28"/>
          <w:szCs w:val="28"/>
          <w:lang w:val="en-US" w:eastAsia="zh-CN"/>
        </w:rPr>
        <w:t xml:space="preserve"> </w:t>
      </w:r>
      <w:r>
        <w:rPr>
          <w:rFonts w:hint="eastAsia" w:ascii="楷体_GB2312" w:hAnsi="楷体_GB2312" w:eastAsia="楷体_GB2312" w:cs="楷体_GB2312"/>
          <w:b/>
          <w:sz w:val="28"/>
          <w:szCs w:val="28"/>
        </w:rPr>
        <w:t xml:space="preserve"> </w:t>
      </w:r>
      <w:r>
        <w:rPr>
          <w:rFonts w:hint="eastAsia" w:ascii="楷体_GB2312" w:hAnsi="楷体_GB2312" w:eastAsia="楷体_GB2312" w:cs="楷体_GB2312"/>
          <w:sz w:val="28"/>
          <w:szCs w:val="28"/>
          <w:lang w:eastAsia="zh-CN"/>
        </w:rPr>
        <w:t>中国人生科学学会</w:t>
      </w:r>
      <w:r>
        <w:rPr>
          <w:rFonts w:hint="eastAsia" w:ascii="楷体_GB2312" w:hAnsi="楷体_GB2312" w:eastAsia="楷体_GB2312" w:cs="楷体_GB2312"/>
          <w:sz w:val="28"/>
          <w:szCs w:val="28"/>
        </w:rPr>
        <w:t>学生发展指导专业委员会高考研究中心研究员</w:t>
      </w:r>
    </w:p>
    <w:p>
      <w:pPr>
        <w:spacing w:line="420" w:lineRule="exact"/>
        <w:ind w:firstLine="840" w:firstLineChars="3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山东大学学生就业创业指导中心就业指导中心主任 </w:t>
      </w:r>
    </w:p>
    <w:p>
      <w:pPr>
        <w:spacing w:line="420" w:lineRule="exact"/>
        <w:ind w:left="279" w:leftChars="133"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全球职业规划师、生涯发展教练、高级职业指导师 </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具有丰富的大学招生与学生指导工作经验，负责山东大学本、硕、博学生的发展指导活动，职业发展咨询、职业生涯规划课程组织与授课。有丰富的职业规划与高考志愿填报经验，擅长以就业目标及未来发展为导向的高考志愿填报咨询</w:t>
      </w:r>
      <w:r>
        <w:rPr>
          <w:rFonts w:hint="eastAsia" w:ascii="楷体_GB2312" w:hAnsi="楷体_GB2312" w:eastAsia="楷体_GB2312" w:cs="楷体_GB2312"/>
          <w:sz w:val="28"/>
          <w:szCs w:val="28"/>
          <w:lang w:eastAsia="zh-CN"/>
        </w:rPr>
        <w:t>。</w:t>
      </w:r>
    </w:p>
    <w:p>
      <w:pPr>
        <w:spacing w:line="380" w:lineRule="exact"/>
        <w:ind w:left="1124" w:hanging="1124" w:hangingChars="400"/>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bCs w:val="0"/>
          <w:sz w:val="28"/>
          <w:szCs w:val="28"/>
          <w:lang w:eastAsia="zh-CN"/>
        </w:rPr>
        <w:t>韩</w:t>
      </w:r>
      <w:r>
        <w:rPr>
          <w:rFonts w:hint="eastAsia" w:ascii="楷体_GB2312" w:hAnsi="楷体_GB2312" w:eastAsia="楷体_GB2312" w:cs="楷体_GB2312"/>
          <w:b/>
          <w:bCs w:val="0"/>
          <w:sz w:val="28"/>
          <w:szCs w:val="28"/>
          <w:lang w:val="en-US" w:eastAsia="zh-CN"/>
        </w:rPr>
        <w:t xml:space="preserve">  </w:t>
      </w:r>
      <w:r>
        <w:rPr>
          <w:rFonts w:hint="eastAsia" w:ascii="楷体_GB2312" w:hAnsi="楷体_GB2312" w:eastAsia="楷体_GB2312" w:cs="楷体_GB2312"/>
          <w:b/>
          <w:bCs w:val="0"/>
          <w:sz w:val="28"/>
          <w:szCs w:val="28"/>
          <w:lang w:eastAsia="zh-CN"/>
        </w:rPr>
        <w:t>旭</w:t>
      </w:r>
      <w:r>
        <w:rPr>
          <w:rFonts w:hint="eastAsia" w:ascii="楷体_GB2312" w:hAnsi="楷体_GB2312" w:eastAsia="楷体_GB2312" w:cs="楷体_GB2312"/>
          <w:b w:val="0"/>
          <w:bCs/>
          <w:sz w:val="28"/>
          <w:szCs w:val="28"/>
          <w:lang w:val="en-US" w:eastAsia="zh-CN"/>
        </w:rPr>
        <w:t xml:space="preserve"> </w:t>
      </w:r>
      <w:r>
        <w:rPr>
          <w:rFonts w:hint="eastAsia" w:ascii="楷体_GB2312" w:hAnsi="楷体_GB2312" w:eastAsia="楷体_GB2312" w:cs="楷体_GB2312"/>
          <w:b w:val="0"/>
          <w:bCs/>
          <w:sz w:val="28"/>
          <w:szCs w:val="28"/>
          <w:lang w:eastAsia="zh-CN"/>
        </w:rPr>
        <w:t>志愿无忧网首席咨询师、新浪高考专家团成员、新浪网全国首届“五星金牌高考志愿咨询师大赛”评委。</w:t>
      </w:r>
    </w:p>
    <w:p>
      <w:pPr>
        <w:spacing w:line="380" w:lineRule="exact"/>
        <w:ind w:left="1124" w:hanging="1124" w:hangingChars="400"/>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bCs w:val="0"/>
          <w:sz w:val="28"/>
          <w:szCs w:val="28"/>
          <w:lang w:eastAsia="zh-CN"/>
        </w:rPr>
        <w:t xml:space="preserve">郭建民 </w:t>
      </w:r>
      <w:r>
        <w:rPr>
          <w:rFonts w:hint="eastAsia" w:ascii="楷体_GB2312" w:hAnsi="楷体_GB2312" w:eastAsia="楷体_GB2312" w:cs="楷体_GB2312"/>
          <w:b w:val="0"/>
          <w:bCs/>
          <w:sz w:val="28"/>
          <w:szCs w:val="28"/>
          <w:lang w:eastAsia="zh-CN"/>
        </w:rPr>
        <w:t xml:space="preserve"> 哈师大附中特级教师、全国知名高考志愿指导专家。曾被北大南开吉大等名校聘为招生咨询顾问曾任教育部阳光高考平台志愿指导专家。曾在中央电视台东方名家栏目志愿讲座三百三十分钟</w:t>
      </w:r>
    </w:p>
    <w:p>
      <w:pPr>
        <w:spacing w:line="380" w:lineRule="exact"/>
        <w:ind w:left="1124" w:hanging="1124" w:hangingChars="400"/>
        <w:rPr>
          <w:rFonts w:hint="eastAsia" w:ascii="楷体_GB2312" w:hAnsi="楷体_GB2312" w:eastAsia="楷体_GB2312" w:cs="楷体_GB2312"/>
          <w:b w:val="0"/>
          <w:bCs/>
          <w:sz w:val="28"/>
          <w:szCs w:val="28"/>
          <w:lang w:val="en-US" w:eastAsia="zh-CN"/>
        </w:rPr>
      </w:pPr>
      <w:r>
        <w:rPr>
          <w:rFonts w:hint="eastAsia" w:ascii="楷体_GB2312" w:hAnsi="楷体_GB2312" w:eastAsia="楷体_GB2312" w:cs="楷体_GB2312"/>
          <w:b/>
          <w:bCs w:val="0"/>
          <w:sz w:val="28"/>
          <w:szCs w:val="28"/>
          <w:lang w:val="en-US" w:eastAsia="zh-CN"/>
        </w:rPr>
        <w:t>邓国焱：</w:t>
      </w:r>
      <w:r>
        <w:rPr>
          <w:rFonts w:hint="eastAsia" w:ascii="楷体_GB2312" w:hAnsi="楷体_GB2312" w:eastAsia="楷体_GB2312" w:cs="楷体_GB2312"/>
          <w:b w:val="0"/>
          <w:bCs/>
          <w:sz w:val="28"/>
          <w:szCs w:val="28"/>
          <w:lang w:val="en-US" w:eastAsia="zh-CN"/>
        </w:rPr>
        <w:t>原《高校招生》杂志网站主编、项目部副主任。现任鼎力金榜CEO兼首席专家，四川高考学业规划暨志愿填报研究院院长。</w:t>
      </w:r>
    </w:p>
    <w:p>
      <w:pPr>
        <w:spacing w:line="380" w:lineRule="exact"/>
        <w:ind w:left="1117" w:leftChars="532" w:firstLine="0" w:firstLineChars="0"/>
        <w:rPr>
          <w:rFonts w:hint="eastAsia" w:ascii="楷体_GB2312" w:hAnsi="楷体_GB2312" w:eastAsia="楷体_GB2312" w:cs="楷体_GB2312"/>
          <w:sz w:val="28"/>
          <w:szCs w:val="28"/>
        </w:rPr>
      </w:pPr>
      <w:r>
        <w:rPr>
          <w:rFonts w:hint="eastAsia" w:ascii="楷体_GB2312" w:hAnsi="楷体_GB2312" w:eastAsia="楷体_GB2312" w:cs="楷体_GB2312"/>
          <w:b w:val="0"/>
          <w:bCs/>
          <w:sz w:val="28"/>
          <w:szCs w:val="28"/>
          <w:lang w:val="en-US" w:eastAsia="zh-CN"/>
        </w:rPr>
        <w:t>从事升学规划十二年来，为历届考生提供力所能及的帮助。潜心研究高考与志愿填报，发表文章《十大“热门”专业近三年就业趋势分析》、《毕业人数与就业》、《深度解析冠名 “理工”的大学》等。并在2014年担任四川电视台科教频道《高考360》节目策划与组稿工作，深得学生家长认可。</w:t>
      </w:r>
      <w:r>
        <w:rPr>
          <w:rFonts w:hint="eastAsia" w:ascii="楷体_GB2312" w:hAnsi="楷体_GB2312" w:eastAsia="楷体_GB2312" w:cs="楷体_GB2312"/>
          <w:sz w:val="28"/>
          <w:szCs w:val="28"/>
        </w:rPr>
        <w:t xml:space="preserve">                        </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八、报名事项</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1.填写《报名登记表》；提交身份证复印件1份，2寸彩色免冠照片2张(需电子版)。</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2.学习周期：整个学习包括：提前一周预习——</w:t>
      </w:r>
      <w:r>
        <w:rPr>
          <w:rFonts w:hint="eastAsia" w:ascii="楷体_GB2312" w:hAnsi="楷体_GB2312" w:eastAsia="楷体_GB2312" w:cs="楷体_GB2312"/>
          <w:sz w:val="28"/>
          <w:szCs w:val="28"/>
          <w:lang w:val="en-US" w:eastAsia="zh-CN"/>
        </w:rPr>
        <w:t>3</w:t>
      </w:r>
      <w:r>
        <w:rPr>
          <w:rFonts w:hint="eastAsia" w:ascii="楷体_GB2312" w:hAnsi="楷体_GB2312" w:eastAsia="楷体_GB2312" w:cs="楷体_GB2312"/>
          <w:sz w:val="28"/>
          <w:szCs w:val="28"/>
        </w:rPr>
        <w:t>天集训——训后两周评价考试——发证。总课时约60课时。</w:t>
      </w:r>
    </w:p>
    <w:p>
      <w:pPr>
        <w:spacing w:line="380" w:lineRule="exact"/>
        <w:ind w:firstLine="560"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rPr>
        <w:t>3.培训费用：</w:t>
      </w:r>
      <w:r>
        <w:rPr>
          <w:rFonts w:hint="eastAsia" w:ascii="楷体_GB2312" w:hAnsi="楷体_GB2312" w:eastAsia="楷体_GB2312" w:cs="楷体_GB2312"/>
          <w:sz w:val="28"/>
          <w:szCs w:val="28"/>
          <w:lang w:eastAsia="zh-CN"/>
        </w:rPr>
        <w:t>高中教师费用为</w:t>
      </w:r>
      <w:r>
        <w:rPr>
          <w:rFonts w:hint="eastAsia" w:ascii="楷体_GB2312" w:hAnsi="楷体_GB2312" w:eastAsia="楷体_GB2312" w:cs="楷体_GB2312"/>
          <w:sz w:val="28"/>
          <w:szCs w:val="28"/>
          <w:lang w:val="en-US" w:eastAsia="zh-CN"/>
        </w:rPr>
        <w:t>1980</w:t>
      </w:r>
      <w:r>
        <w:rPr>
          <w:rFonts w:hint="eastAsia" w:ascii="楷体_GB2312" w:hAnsi="楷体_GB2312" w:eastAsia="楷体_GB2312" w:cs="楷体_GB2312"/>
          <w:sz w:val="28"/>
          <w:szCs w:val="28"/>
        </w:rPr>
        <w:t>元</w:t>
      </w:r>
      <w:r>
        <w:rPr>
          <w:rFonts w:hint="eastAsia" w:ascii="楷体_GB2312" w:hAnsi="楷体_GB2312" w:eastAsia="楷体_GB2312" w:cs="楷体_GB2312"/>
          <w:sz w:val="28"/>
          <w:szCs w:val="28"/>
          <w:lang w:eastAsia="zh-CN"/>
        </w:rPr>
        <w:t>（携带单位回执）</w:t>
      </w:r>
      <w:r>
        <w:rPr>
          <w:rFonts w:hint="eastAsia" w:ascii="楷体_GB2312" w:hAnsi="楷体_GB2312" w:eastAsia="楷体_GB2312" w:cs="楷体_GB2312"/>
          <w:sz w:val="28"/>
          <w:szCs w:val="28"/>
        </w:rPr>
        <w:t>，食宿自理（每人每天3</w:t>
      </w:r>
      <w:r>
        <w:rPr>
          <w:rFonts w:hint="eastAsia" w:ascii="楷体_GB2312" w:hAnsi="楷体_GB2312" w:eastAsia="楷体_GB2312" w:cs="楷体_GB2312"/>
          <w:sz w:val="28"/>
          <w:szCs w:val="28"/>
          <w:lang w:val="en-US" w:eastAsia="zh-CN"/>
        </w:rPr>
        <w:t>2</w:t>
      </w:r>
      <w:r>
        <w:rPr>
          <w:rFonts w:hint="eastAsia" w:ascii="楷体_GB2312" w:hAnsi="楷体_GB2312" w:eastAsia="楷体_GB2312" w:cs="楷体_GB2312"/>
          <w:sz w:val="28"/>
          <w:szCs w:val="28"/>
        </w:rPr>
        <w:t>0左右），会务组统一安排。为了更好的学习效果，学员须与课程顾问联系，提前付费预订课程。</w:t>
      </w:r>
      <w:r>
        <w:rPr>
          <w:rFonts w:hint="eastAsia" w:ascii="楷体_GB2312" w:hAnsi="楷体_GB2312" w:eastAsia="楷体_GB2312" w:cs="楷体_GB2312"/>
          <w:sz w:val="28"/>
          <w:szCs w:val="28"/>
          <w:lang w:eastAsia="zh-CN"/>
        </w:rPr>
        <w:t>非一线高中教师费用为</w:t>
      </w:r>
      <w:r>
        <w:rPr>
          <w:rFonts w:hint="eastAsia" w:ascii="楷体_GB2312" w:hAnsi="楷体_GB2312" w:eastAsia="楷体_GB2312" w:cs="楷体_GB2312"/>
          <w:sz w:val="28"/>
          <w:szCs w:val="28"/>
          <w:lang w:val="en-US" w:eastAsia="zh-CN"/>
        </w:rPr>
        <w:t>3600元。</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4</w:t>
      </w:r>
      <w:r>
        <w:rPr>
          <w:rFonts w:hint="eastAsia" w:ascii="楷体_GB2312" w:hAnsi="楷体_GB2312" w:eastAsia="楷体_GB2312" w:cs="楷体_GB2312"/>
          <w:sz w:val="28"/>
          <w:szCs w:val="28"/>
        </w:rPr>
        <w:t>.组委会联系方式：</w:t>
      </w:r>
    </w:p>
    <w:p>
      <w:pPr>
        <w:spacing w:line="380" w:lineRule="exact"/>
        <w:ind w:firstLine="560" w:firstLineChars="200"/>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val="0"/>
          <w:bCs/>
          <w:sz w:val="28"/>
          <w:szCs w:val="28"/>
          <w:lang w:eastAsia="zh-CN"/>
        </w:rPr>
        <w:t xml:space="preserve">联系人：张老师      </w:t>
      </w:r>
    </w:p>
    <w:p>
      <w:pPr>
        <w:spacing w:line="380" w:lineRule="exact"/>
        <w:ind w:firstLine="560" w:firstLineChars="200"/>
        <w:rPr>
          <w:rFonts w:hint="eastAsia" w:ascii="楷体_GB2312" w:hAnsi="楷体_GB2312" w:eastAsia="楷体_GB2312" w:cs="楷体_GB2312"/>
          <w:b w:val="0"/>
          <w:bCs/>
          <w:sz w:val="28"/>
          <w:szCs w:val="28"/>
          <w:lang w:val="en-US" w:eastAsia="zh-CN"/>
        </w:rPr>
      </w:pPr>
      <w:r>
        <w:rPr>
          <w:rFonts w:hint="eastAsia" w:ascii="楷体_GB2312" w:hAnsi="楷体_GB2312" w:eastAsia="楷体_GB2312" w:cs="楷体_GB2312"/>
          <w:b w:val="0"/>
          <w:bCs/>
          <w:sz w:val="28"/>
          <w:szCs w:val="28"/>
          <w:lang w:eastAsia="zh-CN"/>
        </w:rPr>
        <w:t>电  话：</w:t>
      </w:r>
      <w:r>
        <w:rPr>
          <w:rFonts w:hint="eastAsia" w:ascii="楷体_GB2312" w:hAnsi="楷体_GB2312" w:eastAsia="楷体_GB2312" w:cs="楷体_GB2312"/>
          <w:b w:val="0"/>
          <w:bCs/>
          <w:sz w:val="28"/>
          <w:szCs w:val="28"/>
          <w:lang w:val="en-US" w:eastAsia="zh-CN"/>
        </w:rPr>
        <w:t>010-63831196    13522591829（微信同号）</w:t>
      </w:r>
    </w:p>
    <w:p>
      <w:pPr>
        <w:spacing w:line="380" w:lineRule="exact"/>
        <w:ind w:firstLine="560" w:firstLineChars="200"/>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val="0"/>
          <w:bCs/>
          <w:sz w:val="28"/>
          <w:szCs w:val="28"/>
          <w:lang w:eastAsia="zh-CN"/>
        </w:rPr>
        <w:t>邮</w:t>
      </w:r>
      <w:r>
        <w:rPr>
          <w:rFonts w:hint="eastAsia" w:ascii="楷体_GB2312" w:hAnsi="楷体_GB2312" w:eastAsia="楷体_GB2312" w:cs="楷体_GB2312"/>
          <w:b w:val="0"/>
          <w:bCs/>
          <w:sz w:val="28"/>
          <w:szCs w:val="28"/>
          <w:lang w:val="en-US" w:eastAsia="zh-CN"/>
        </w:rPr>
        <w:t xml:space="preserve">  </w:t>
      </w:r>
      <w:r>
        <w:rPr>
          <w:rFonts w:hint="eastAsia" w:ascii="楷体_GB2312" w:hAnsi="楷体_GB2312" w:eastAsia="楷体_GB2312" w:cs="楷体_GB2312"/>
          <w:b w:val="0"/>
          <w:bCs/>
          <w:sz w:val="28"/>
          <w:szCs w:val="28"/>
          <w:lang w:eastAsia="zh-CN"/>
        </w:rPr>
        <w:t>箱：</w:t>
      </w:r>
      <w:r>
        <w:rPr>
          <w:rFonts w:hint="eastAsia" w:ascii="楷体_GB2312" w:hAnsi="楷体_GB2312" w:eastAsia="楷体_GB2312" w:cs="楷体_GB2312"/>
          <w:b w:val="0"/>
          <w:bCs/>
          <w:sz w:val="28"/>
          <w:szCs w:val="28"/>
          <w:lang w:eastAsia="zh-CN"/>
        </w:rPr>
        <w:fldChar w:fldCharType="begin"/>
      </w:r>
      <w:r>
        <w:rPr>
          <w:rFonts w:hint="eastAsia" w:ascii="楷体_GB2312" w:hAnsi="楷体_GB2312" w:eastAsia="楷体_GB2312" w:cs="楷体_GB2312"/>
          <w:b w:val="0"/>
          <w:bCs/>
          <w:sz w:val="28"/>
          <w:szCs w:val="28"/>
          <w:lang w:eastAsia="zh-CN"/>
        </w:rPr>
        <w:instrText xml:space="preserve"> HYPERLINK "mailto:xgkzktz@sina.com" </w:instrText>
      </w:r>
      <w:r>
        <w:rPr>
          <w:rFonts w:hint="eastAsia" w:ascii="楷体_GB2312" w:hAnsi="楷体_GB2312" w:eastAsia="楷体_GB2312" w:cs="楷体_GB2312"/>
          <w:b w:val="0"/>
          <w:bCs/>
          <w:sz w:val="28"/>
          <w:szCs w:val="28"/>
          <w:lang w:eastAsia="zh-CN"/>
        </w:rPr>
        <w:fldChar w:fldCharType="separate"/>
      </w:r>
      <w:r>
        <w:rPr>
          <w:rFonts w:hint="eastAsia" w:ascii="楷体_GB2312" w:hAnsi="楷体_GB2312" w:eastAsia="楷体_GB2312" w:cs="楷体_GB2312"/>
          <w:b w:val="0"/>
          <w:bCs/>
          <w:sz w:val="28"/>
          <w:szCs w:val="28"/>
          <w:lang w:eastAsia="zh-CN"/>
        </w:rPr>
        <w:t>xgkzktz@sina.com</w:t>
      </w:r>
      <w:r>
        <w:rPr>
          <w:rFonts w:hint="eastAsia" w:ascii="楷体_GB2312" w:hAnsi="楷体_GB2312" w:eastAsia="楷体_GB2312" w:cs="楷体_GB2312"/>
          <w:b w:val="0"/>
          <w:bCs/>
          <w:sz w:val="28"/>
          <w:szCs w:val="28"/>
          <w:lang w:eastAsia="zh-CN"/>
        </w:rPr>
        <w:fldChar w:fldCharType="end"/>
      </w:r>
    </w:p>
    <w:p>
      <w:pPr>
        <w:spacing w:line="380" w:lineRule="exact"/>
        <w:ind w:firstLine="560" w:firstLineChars="200"/>
        <w:rPr>
          <w:rFonts w:hint="eastAsia" w:ascii="楷体_GB2312" w:hAnsi="楷体_GB2312" w:eastAsia="楷体_GB2312" w:cs="楷体_GB2312"/>
          <w:b w:val="0"/>
          <w:bCs/>
          <w:sz w:val="28"/>
          <w:szCs w:val="28"/>
          <w:lang w:eastAsia="zh-CN"/>
        </w:rPr>
      </w:pP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（中国学校生涯规划教育网）</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附件一：学生发展指导专业委员会简介</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附件二：报名表                         </w:t>
      </w:r>
    </w:p>
    <w:p>
      <w:pPr>
        <w:spacing w:line="3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p>
    <w:p>
      <w:pPr>
        <w:spacing w:line="380" w:lineRule="exact"/>
        <w:ind w:firstLine="560" w:firstLineChars="200"/>
        <w:rPr>
          <w:rFonts w:hint="eastAsia" w:ascii="楷体_GB2312" w:hAnsi="楷体_GB2312" w:eastAsia="楷体_GB2312" w:cs="楷体_GB2312"/>
          <w:sz w:val="28"/>
          <w:szCs w:val="28"/>
        </w:rPr>
      </w:pPr>
    </w:p>
    <w:p>
      <w:pPr>
        <w:spacing w:line="380" w:lineRule="exact"/>
        <w:ind w:firstLine="3920" w:firstLineChars="14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中国人生科学学会</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 xml:space="preserve">学生发展指导专业委员会          </w:t>
      </w:r>
    </w:p>
    <w:p>
      <w:pPr>
        <w:spacing w:line="380" w:lineRule="exact"/>
        <w:rPr>
          <w:rFonts w:hint="eastAsia" w:ascii="黑体" w:hAnsi="宋体" w:eastAsia="楷体_GB2312" w:cs="黑体"/>
          <w:b/>
          <w:bCs/>
          <w:color w:val="FF0000"/>
          <w:kern w:val="0"/>
          <w:sz w:val="32"/>
          <w:szCs w:val="32"/>
          <w:shd w:val="clear" w:color="auto" w:fill="FFFFFF"/>
          <w:lang w:val="en-US" w:eastAsia="zh-CN"/>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201</w:t>
      </w:r>
      <w:r>
        <w:rPr>
          <w:rFonts w:hint="eastAsia" w:ascii="楷体_GB2312" w:hAnsi="楷体_GB2312" w:eastAsia="楷体_GB2312" w:cs="楷体_GB2312"/>
          <w:sz w:val="28"/>
          <w:szCs w:val="28"/>
          <w:lang w:val="en-US" w:eastAsia="zh-CN"/>
        </w:rPr>
        <w:t>9</w:t>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val="en-US" w:eastAsia="zh-CN"/>
        </w:rPr>
        <w:t>4</w:t>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val="en-US" w:eastAsia="zh-CN"/>
        </w:rPr>
        <w:t>8</w:t>
      </w: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ascii="黑体" w:hAnsi="宋体" w:eastAsia="黑体" w:cs="黑体"/>
          <w:b/>
          <w:bCs/>
          <w:color w:val="FF0000"/>
          <w:kern w:val="0"/>
          <w:sz w:val="32"/>
          <w:szCs w:val="32"/>
          <w:shd w:val="clear" w:color="auto" w:fill="FFFFFF"/>
        </w:rPr>
      </w:pPr>
      <w:r>
        <w:rPr>
          <w:rFonts w:hint="eastAsia" w:ascii="黑体" w:hAnsi="宋体" w:eastAsia="黑体" w:cs="黑体"/>
          <w:b/>
          <w:bCs/>
          <w:color w:val="FF0000"/>
          <w:kern w:val="0"/>
          <w:sz w:val="32"/>
          <w:szCs w:val="32"/>
          <w:shd w:val="clear" w:color="auto" w:fill="FFFFFF"/>
        </w:rPr>
        <w:t>附件一</w:t>
      </w:r>
    </w:p>
    <w:p>
      <w:pPr>
        <w:widowControl/>
        <w:ind w:firstLine="480"/>
        <w:jc w:val="left"/>
        <w:rPr>
          <w:rFonts w:ascii="黑体" w:hAnsi="宋体" w:eastAsia="黑体" w:cs="黑体"/>
          <w:b/>
          <w:bCs/>
          <w:color w:val="FF0000"/>
          <w:kern w:val="0"/>
          <w:sz w:val="32"/>
          <w:szCs w:val="32"/>
          <w:shd w:val="clear" w:color="auto" w:fill="FFFFFF"/>
        </w:rPr>
      </w:pPr>
      <w:r>
        <w:rPr>
          <w:rFonts w:hint="eastAsia" w:ascii="黑体" w:hAnsi="宋体" w:eastAsia="黑体" w:cs="黑体"/>
          <w:b/>
          <w:bCs/>
          <w:color w:val="FF0000"/>
          <w:kern w:val="0"/>
          <w:sz w:val="32"/>
          <w:szCs w:val="32"/>
          <w:shd w:val="clear" w:color="auto" w:fill="FFFFFF"/>
        </w:rPr>
        <w:t>中国人生科学学会学生发展指导专业委员会简介</w:t>
      </w:r>
    </w:p>
    <w:p>
      <w:pPr>
        <w:widowControl/>
        <w:jc w:val="left"/>
        <w:rPr>
          <w:rFonts w:ascii="黑体" w:hAnsi="宋体" w:eastAsia="黑体" w:cs="黑体"/>
          <w:color w:val="555555"/>
          <w:kern w:val="0"/>
          <w:sz w:val="24"/>
          <w:szCs w:val="24"/>
          <w:shd w:val="clear" w:color="auto" w:fill="FFFFFF"/>
        </w:rPr>
      </w:pPr>
    </w:p>
    <w:p>
      <w:pPr>
        <w:widowControl/>
        <w:ind w:firstLine="480"/>
        <w:jc w:val="left"/>
        <w:rPr>
          <w:rFonts w:ascii="宋体" w:hAnsi="宋体" w:eastAsia="宋体" w:cs="宋体"/>
          <w:color w:val="000000"/>
          <w:sz w:val="24"/>
          <w:szCs w:val="24"/>
        </w:rPr>
      </w:pPr>
      <w:r>
        <w:rPr>
          <w:rFonts w:ascii="黑体" w:hAnsi="宋体" w:eastAsia="黑体" w:cs="黑体"/>
          <w:color w:val="555555"/>
          <w:kern w:val="0"/>
          <w:sz w:val="24"/>
          <w:szCs w:val="24"/>
          <w:shd w:val="clear" w:color="auto" w:fill="FFFFFF"/>
        </w:rPr>
        <w:t>中国人生科学学会是中华人民共和国教育部业务主管、民政部注册的国家一级学术社团。</w:t>
      </w:r>
    </w:p>
    <w:p>
      <w:pPr>
        <w:widowControl/>
        <w:shd w:val="clear" w:color="auto" w:fill="FFFFFF"/>
        <w:jc w:val="left"/>
        <w:rPr>
          <w:rFonts w:ascii="宋体" w:hAnsi="宋体" w:eastAsia="宋体" w:cs="宋体"/>
          <w:color w:val="000000"/>
          <w:sz w:val="24"/>
          <w:szCs w:val="24"/>
        </w:rPr>
      </w:pPr>
      <w:r>
        <w:rPr>
          <w:rFonts w:hint="eastAsia" w:ascii="黑体" w:hAnsi="宋体" w:eastAsia="黑体" w:cs="黑体"/>
          <w:color w:val="555555"/>
          <w:kern w:val="0"/>
          <w:sz w:val="24"/>
          <w:szCs w:val="24"/>
          <w:shd w:val="clear" w:color="auto" w:fill="FFFFFF"/>
        </w:rPr>
        <w:t>　　中国人生科学是我国社会科学领域里的一个崭新学科。它的学术功能是：研究人生现象，揭示人生规律，探索人生理论，指导人生实践。帮助每个人正确认识和设计人生，有效地创造和奉献人生，挖掘人生潜能，造就人生辉煌。人生科学是融合古今中外优秀的伦理道德和哲学思想形成的人生理论和做人科学，是古今人们常做常新，与时俱进，永无终结的一门显学。</w:t>
      </w:r>
    </w:p>
    <w:p>
      <w:pPr>
        <w:widowControl/>
        <w:shd w:val="clear" w:color="auto" w:fill="FFFFFF"/>
        <w:jc w:val="left"/>
        <w:rPr>
          <w:rFonts w:ascii="宋体" w:hAnsi="宋体" w:eastAsia="宋体" w:cs="宋体"/>
          <w:color w:val="000000"/>
          <w:sz w:val="24"/>
          <w:szCs w:val="24"/>
        </w:rPr>
      </w:pPr>
      <w:r>
        <w:rPr>
          <w:rFonts w:hint="eastAsia" w:ascii="黑体" w:hAnsi="宋体" w:eastAsia="黑体" w:cs="黑体"/>
          <w:color w:val="555555"/>
          <w:kern w:val="0"/>
          <w:sz w:val="24"/>
          <w:szCs w:val="24"/>
          <w:shd w:val="clear" w:color="auto" w:fill="FFFFFF"/>
        </w:rPr>
        <w:t>　　中国人生科学学会正在探讨市场经济条件下，人的生存与发展的种种问题。同时开展人生教育、人生咨询、人生健康、人生创业等与此相关的服务活动。并和有关部门联合举办各种大型有益于文明进步的社会活动。为创建美好人生和和谐社会而不懈努力。</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中国人生科学学会学生发展指导专业委员会（以下简称学生发展专委员）是中国人生科学学会的直属机构。</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的宗旨是为了帮助学生在学生阶段开始思考“为什么发展”、“发展成什么样的人”、“如何发展”、“如何管理发展过程”等问题，帮助学生掌握有效发展的方法，从小养成良好的发展意识与习惯，树立远大理想、信念和价值观，科学规划自己的人生。</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的主要职责是以学生不同时期的发展需求为主题，面向学前教育、义务教育、高中阶段教育、高等教育、成人教育等学生成长的各个阶段，针对教育规划、教育技术、教育模式、教育设备、多元课程、学生核心素养、学生综合素质评价、创客教育等各个方面进行理论研究和课题实践。</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将面向全国召开与学生发展指导相关的各种论坛、研讨会、培训、课题研究、成果推介等多样化的活动。包括，生涯规划论坛和研讨会、创客教育研讨会、自主学习论坛和研讨会、学校生涯规划师岗位能力培训、高考志愿填报咨询师岗位能力培训、自主学习指导师岗位能力培训、学生发展课题研究、学生发展指导研究成果推介会等活动。</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学生发展专委会下设秘书处、科研中心、培训中心、课程中心、企业合作中心、国际交流中心等业务部门，力求专业性和协同作用。</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学生发展专委会真诚期待与全国各大中小学、教育院所、企业、机构等合作，为我国的学生发展教育做出有价值的贡献！</w:t>
      </w:r>
    </w:p>
    <w:p>
      <w:pPr>
        <w:spacing w:line="380" w:lineRule="exact"/>
        <w:jc w:val="center"/>
        <w:rPr>
          <w:b/>
          <w:bCs/>
          <w:sz w:val="32"/>
          <w:szCs w:val="32"/>
        </w:rPr>
      </w:pPr>
    </w:p>
    <w:p/>
    <w:p/>
    <w:p>
      <w:pPr>
        <w:rPr>
          <w:sz w:val="32"/>
          <w:szCs w:val="32"/>
        </w:rPr>
      </w:pPr>
    </w:p>
    <w:p>
      <w:pPr>
        <w:rPr>
          <w:sz w:val="32"/>
          <w:szCs w:val="32"/>
        </w:rPr>
      </w:pPr>
    </w:p>
    <w:p>
      <w:pPr>
        <w:rPr>
          <w:rFonts w:hint="eastAsia"/>
          <w:sz w:val="32"/>
          <w:szCs w:val="32"/>
        </w:rPr>
      </w:pPr>
    </w:p>
    <w:p>
      <w:pPr>
        <w:rPr>
          <w:rFonts w:hint="eastAsia"/>
          <w:sz w:val="32"/>
          <w:szCs w:val="32"/>
        </w:rPr>
      </w:pPr>
    </w:p>
    <w:p>
      <w:r>
        <w:rPr>
          <w:rFonts w:hint="eastAsia"/>
          <w:sz w:val="32"/>
          <w:szCs w:val="32"/>
        </w:rPr>
        <w:t>附件二：</w:t>
      </w:r>
    </w:p>
    <w:p>
      <w:pPr>
        <w:spacing w:line="380" w:lineRule="exact"/>
        <w:ind w:left="218" w:leftChars="0" w:hanging="218" w:hangingChars="68"/>
        <w:jc w:val="center"/>
        <w:rPr>
          <w:rFonts w:hint="eastAsia" w:ascii="黑体" w:hAnsi="黑体" w:eastAsia="黑体" w:cs="黑体"/>
          <w:b/>
          <w:color w:val="000000"/>
          <w:kern w:val="0"/>
          <w:sz w:val="28"/>
          <w:szCs w:val="28"/>
        </w:rPr>
      </w:pPr>
      <w:r>
        <w:rPr>
          <w:rFonts w:hint="eastAsia"/>
          <w:b/>
          <w:bCs/>
          <w:sz w:val="32"/>
          <w:szCs w:val="32"/>
          <w:lang w:val="en-US" w:eastAsia="zh-CN"/>
        </w:rPr>
        <w:t xml:space="preserve"> </w:t>
      </w:r>
      <w:r>
        <w:rPr>
          <w:rFonts w:hint="eastAsia" w:ascii="黑体" w:hAnsi="宋体" w:eastAsia="黑体" w:cs="黑体"/>
          <w:b w:val="0"/>
          <w:i w:val="0"/>
          <w:caps w:val="0"/>
          <w:color w:val="FF0000"/>
          <w:spacing w:val="0"/>
          <w:kern w:val="0"/>
          <w:sz w:val="32"/>
          <w:szCs w:val="32"/>
          <w:shd w:val="clear" w:color="auto" w:fill="FFFFFF"/>
          <w:lang w:val="en-US" w:eastAsia="zh-CN" w:bidi="ar"/>
        </w:rPr>
        <w:t xml:space="preserve">高考志愿咨询师岗位能力培训报名表 </w:t>
      </w:r>
    </w:p>
    <w:p>
      <w:pPr>
        <w:spacing w:line="380" w:lineRule="exact"/>
        <w:jc w:val="both"/>
        <w:rPr>
          <w:rFonts w:hint="eastAsia" w:ascii="黑体" w:hAnsi="黑体" w:eastAsia="黑体" w:cs="黑体"/>
          <w:b/>
          <w:color w:val="000000"/>
          <w:kern w:val="0"/>
          <w:sz w:val="28"/>
          <w:szCs w:val="28"/>
        </w:rPr>
      </w:pPr>
    </w:p>
    <w:tbl>
      <w:tblPr>
        <w:tblStyle w:val="9"/>
        <w:tblpPr w:leftFromText="180" w:rightFromText="180" w:vertAnchor="text" w:tblpX="30" w:tblpY="129"/>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178"/>
        <w:gridCol w:w="530"/>
        <w:gridCol w:w="885"/>
        <w:gridCol w:w="1750"/>
        <w:gridCol w:w="1620"/>
        <w:gridCol w:w="675"/>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77" w:type="dxa"/>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w:t>
            </w:r>
          </w:p>
          <w:p>
            <w:pPr>
              <w:jc w:val="center"/>
              <w:rPr>
                <w:rFonts w:hint="eastAsia"/>
                <w:color w:val="auto"/>
                <w:sz w:val="24"/>
                <w:szCs w:val="24"/>
              </w:rPr>
            </w:pPr>
            <w:r>
              <w:rPr>
                <w:rFonts w:hint="eastAsia" w:ascii="仿宋_GB2312" w:hAnsi="仿宋_GB2312" w:eastAsia="仿宋_GB2312" w:cs="仿宋_GB2312"/>
                <w:color w:val="auto"/>
                <w:sz w:val="24"/>
                <w:szCs w:val="24"/>
                <w:lang w:eastAsia="zh-CN"/>
              </w:rPr>
              <w:t>名称</w:t>
            </w:r>
          </w:p>
        </w:tc>
        <w:tc>
          <w:tcPr>
            <w:tcW w:w="8668" w:type="dxa"/>
            <w:gridSpan w:val="7"/>
            <w:noWrap w:val="0"/>
            <w:vAlign w:val="center"/>
          </w:tcPr>
          <w:p>
            <w:pPr>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77"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纳税人识别号</w:t>
            </w:r>
          </w:p>
        </w:tc>
        <w:tc>
          <w:tcPr>
            <w:tcW w:w="8668" w:type="dxa"/>
            <w:gridSpan w:val="7"/>
            <w:noWrap w:val="0"/>
            <w:vAlign w:val="center"/>
          </w:tcPr>
          <w:p>
            <w:pPr>
              <w:ind w:firstLine="2160" w:firstLineChars="900"/>
              <w:jc w:val="both"/>
              <w:rPr>
                <w:rFonts w:hint="eastAsia"/>
                <w:color w:val="auto"/>
                <w:sz w:val="24"/>
                <w:szCs w:val="24"/>
              </w:rPr>
            </w:pPr>
            <w:r>
              <w:rPr>
                <w:rFonts w:hint="eastAsia"/>
                <w:color w:val="auto"/>
                <w:sz w:val="24"/>
                <w:szCs w:val="24"/>
                <w:lang w:eastAsia="zh-CN"/>
              </w:rPr>
              <w:t>由本单位会计填写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77" w:type="dxa"/>
            <w:noWrap w:val="0"/>
            <w:vAlign w:val="center"/>
          </w:tcPr>
          <w:p>
            <w:pPr>
              <w:jc w:val="both"/>
              <w:rPr>
                <w:rFonts w:hint="eastAsia" w:ascii="仿宋_GB2312" w:hAnsi="仿宋_GB2312" w:eastAsia="仿宋_GB2312" w:cs="仿宋_GB2312"/>
                <w:color w:val="auto"/>
                <w:sz w:val="24"/>
                <w:szCs w:val="24"/>
                <w:lang w:eastAsia="zh-CN"/>
              </w:rPr>
            </w:pPr>
            <w:r>
              <w:rPr>
                <w:rFonts w:hint="eastAsia" w:ascii="仿宋" w:hAnsi="仿宋" w:eastAsia="仿宋" w:cs="仿宋"/>
                <w:color w:val="auto"/>
                <w:sz w:val="24"/>
                <w:szCs w:val="24"/>
                <w:lang w:eastAsia="zh-CN"/>
              </w:rPr>
              <w:t>开户行</w:t>
            </w:r>
            <w:r>
              <w:rPr>
                <w:rFonts w:hint="eastAsia" w:ascii="仿宋_GB2312" w:hAnsi="仿宋_GB2312" w:eastAsia="仿宋_GB2312" w:cs="仿宋_GB2312"/>
                <w:color w:val="auto"/>
                <w:sz w:val="24"/>
                <w:szCs w:val="24"/>
                <w:lang w:eastAsia="zh-CN"/>
              </w:rPr>
              <w:t>及账号</w:t>
            </w:r>
          </w:p>
        </w:tc>
        <w:tc>
          <w:tcPr>
            <w:tcW w:w="8668" w:type="dxa"/>
            <w:gridSpan w:val="7"/>
            <w:noWrap w:val="0"/>
            <w:vAlign w:val="center"/>
          </w:tcPr>
          <w:p>
            <w:pPr>
              <w:jc w:val="center"/>
              <w:rPr>
                <w:rFonts w:hint="eastAsia"/>
                <w:color w:val="auto"/>
                <w:sz w:val="24"/>
                <w:szCs w:val="24"/>
              </w:rPr>
            </w:pPr>
            <w:r>
              <w:rPr>
                <w:rFonts w:hint="eastAsia"/>
                <w:color w:val="auto"/>
                <w:sz w:val="24"/>
                <w:szCs w:val="24"/>
                <w:lang w:eastAsia="zh-CN"/>
              </w:rPr>
              <w:t>由本单位会计填写（如不需要可以不填）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77" w:type="dxa"/>
            <w:noWrap w:val="0"/>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邮寄</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地址</w:t>
            </w:r>
          </w:p>
        </w:tc>
        <w:tc>
          <w:tcPr>
            <w:tcW w:w="4343" w:type="dxa"/>
            <w:gridSpan w:val="4"/>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ascii="仿宋_GB2312" w:hAnsi="仿宋_GB2312" w:eastAsia="仿宋_GB2312" w:cs="仿宋_GB2312"/>
                <w:sz w:val="24"/>
              </w:rPr>
              <w:t>邮编</w:t>
            </w:r>
          </w:p>
        </w:tc>
        <w:tc>
          <w:tcPr>
            <w:tcW w:w="2705" w:type="dxa"/>
            <w:gridSpan w:val="2"/>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77" w:type="dxa"/>
            <w:vMerge w:val="restart"/>
            <w:noWrap w:val="0"/>
            <w:vAlign w:val="center"/>
          </w:tcPr>
          <w:p>
            <w:pPr>
              <w:jc w:val="center"/>
              <w:rPr>
                <w:rFonts w:hint="eastAsia"/>
                <w:sz w:val="24"/>
                <w:szCs w:val="24"/>
              </w:rPr>
            </w:pPr>
            <w:r>
              <w:rPr>
                <w:rFonts w:hint="eastAsia" w:ascii="仿宋_GB2312" w:hAnsi="仿宋_GB2312" w:eastAsia="仿宋_GB2312" w:cs="仿宋_GB2312"/>
                <w:sz w:val="24"/>
                <w:szCs w:val="24"/>
              </w:rPr>
              <w:t>带队</w:t>
            </w:r>
          </w:p>
        </w:tc>
        <w:tc>
          <w:tcPr>
            <w:tcW w:w="1178" w:type="dxa"/>
            <w:noWrap w:val="0"/>
            <w:vAlign w:val="center"/>
          </w:tcPr>
          <w:p>
            <w:pPr>
              <w:jc w:val="center"/>
              <w:rPr>
                <w:rFonts w:hint="eastAsia"/>
                <w:sz w:val="24"/>
                <w:szCs w:val="24"/>
              </w:rPr>
            </w:pPr>
            <w:r>
              <w:rPr>
                <w:rFonts w:hint="eastAsia" w:ascii="仿宋_GB2312" w:hAnsi="仿宋_GB2312" w:eastAsia="仿宋_GB2312" w:cs="仿宋_GB2312"/>
                <w:sz w:val="24"/>
                <w:szCs w:val="24"/>
              </w:rPr>
              <w:t>姓名</w:t>
            </w:r>
          </w:p>
        </w:tc>
        <w:tc>
          <w:tcPr>
            <w:tcW w:w="530" w:type="dxa"/>
            <w:noWrap w:val="0"/>
            <w:vAlign w:val="center"/>
          </w:tcPr>
          <w:p>
            <w:pPr>
              <w:jc w:val="center"/>
              <w:rPr>
                <w:rFonts w:hint="eastAsia"/>
                <w:sz w:val="24"/>
                <w:szCs w:val="24"/>
              </w:rPr>
            </w:pPr>
            <w:r>
              <w:rPr>
                <w:rFonts w:hint="eastAsia" w:ascii="仿宋_GB2312" w:hAnsi="仿宋_GB2312" w:eastAsia="仿宋_GB2312" w:cs="仿宋_GB2312"/>
                <w:sz w:val="24"/>
                <w:szCs w:val="24"/>
              </w:rPr>
              <w:t>性别</w:t>
            </w:r>
          </w:p>
        </w:tc>
        <w:tc>
          <w:tcPr>
            <w:tcW w:w="885" w:type="dxa"/>
            <w:noWrap w:val="0"/>
            <w:vAlign w:val="center"/>
          </w:tcPr>
          <w:p>
            <w:pPr>
              <w:jc w:val="center"/>
              <w:rPr>
                <w:rFonts w:hint="eastAsia"/>
                <w:sz w:val="24"/>
                <w:szCs w:val="24"/>
              </w:rPr>
            </w:pPr>
            <w:r>
              <w:rPr>
                <w:rFonts w:hint="eastAsia" w:ascii="仿宋_GB2312" w:hAnsi="仿宋_GB2312" w:eastAsia="仿宋_GB2312" w:cs="仿宋_GB2312"/>
                <w:sz w:val="24"/>
                <w:szCs w:val="24"/>
              </w:rPr>
              <w:t>职务</w:t>
            </w:r>
          </w:p>
        </w:tc>
        <w:tc>
          <w:tcPr>
            <w:tcW w:w="1750" w:type="dxa"/>
            <w:noWrap w:val="0"/>
            <w:vAlign w:val="center"/>
          </w:tcPr>
          <w:p>
            <w:pPr>
              <w:jc w:val="center"/>
              <w:rPr>
                <w:rFonts w:hint="eastAsia"/>
                <w:sz w:val="24"/>
                <w:szCs w:val="24"/>
              </w:rPr>
            </w:pPr>
            <w:r>
              <w:rPr>
                <w:rFonts w:hint="eastAsia" w:ascii="仿宋_GB2312" w:hAnsi="仿宋_GB2312" w:eastAsia="仿宋_GB2312" w:cs="仿宋_GB2312"/>
                <w:sz w:val="24"/>
                <w:szCs w:val="24"/>
              </w:rPr>
              <w:t>电话</w:t>
            </w:r>
          </w:p>
        </w:tc>
        <w:tc>
          <w:tcPr>
            <w:tcW w:w="1620" w:type="dxa"/>
            <w:noWrap w:val="0"/>
            <w:vAlign w:val="center"/>
          </w:tcPr>
          <w:p>
            <w:pPr>
              <w:jc w:val="center"/>
              <w:rPr>
                <w:rFonts w:hint="eastAsia"/>
                <w:sz w:val="24"/>
                <w:szCs w:val="24"/>
              </w:rPr>
            </w:pPr>
            <w:r>
              <w:rPr>
                <w:rFonts w:hint="eastAsia" w:ascii="仿宋_GB2312" w:hAnsi="仿宋_GB2312" w:eastAsia="仿宋_GB2312" w:cs="仿宋_GB2312"/>
                <w:sz w:val="24"/>
                <w:szCs w:val="24"/>
              </w:rPr>
              <w:t>手机</w:t>
            </w:r>
          </w:p>
        </w:tc>
        <w:tc>
          <w:tcPr>
            <w:tcW w:w="675" w:type="dxa"/>
            <w:noWrap w:val="0"/>
            <w:vAlign w:val="center"/>
          </w:tcPr>
          <w:p>
            <w:pPr>
              <w:jc w:val="center"/>
              <w:rPr>
                <w:rFonts w:hint="eastAsia"/>
                <w:sz w:val="24"/>
                <w:szCs w:val="24"/>
              </w:rPr>
            </w:pPr>
            <w:r>
              <w:rPr>
                <w:rFonts w:hint="eastAsia"/>
                <w:sz w:val="24"/>
                <w:szCs w:val="24"/>
              </w:rPr>
              <w:t>QQ</w:t>
            </w:r>
          </w:p>
        </w:tc>
        <w:tc>
          <w:tcPr>
            <w:tcW w:w="203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77" w:type="dxa"/>
            <w:vMerge w:val="continue"/>
            <w:noWrap w:val="0"/>
            <w:vAlign w:val="center"/>
          </w:tcPr>
          <w:p>
            <w:pPr>
              <w:jc w:val="center"/>
              <w:rPr>
                <w:rFonts w:hint="eastAsia"/>
                <w:sz w:val="24"/>
                <w:szCs w:val="24"/>
              </w:rPr>
            </w:pPr>
          </w:p>
        </w:tc>
        <w:tc>
          <w:tcPr>
            <w:tcW w:w="1178" w:type="dxa"/>
            <w:noWrap w:val="0"/>
            <w:vAlign w:val="center"/>
          </w:tcPr>
          <w:p>
            <w:pPr>
              <w:jc w:val="both"/>
              <w:rPr>
                <w:rFonts w:hint="eastAsia"/>
                <w:sz w:val="24"/>
                <w:szCs w:val="24"/>
              </w:rPr>
            </w:pPr>
          </w:p>
        </w:tc>
        <w:tc>
          <w:tcPr>
            <w:tcW w:w="530" w:type="dxa"/>
            <w:noWrap w:val="0"/>
            <w:vAlign w:val="center"/>
          </w:tcPr>
          <w:p>
            <w:pPr>
              <w:jc w:val="center"/>
              <w:rPr>
                <w:rFonts w:hint="eastAsia"/>
                <w:sz w:val="24"/>
                <w:szCs w:val="24"/>
              </w:rPr>
            </w:pPr>
          </w:p>
        </w:tc>
        <w:tc>
          <w:tcPr>
            <w:tcW w:w="885" w:type="dxa"/>
            <w:noWrap w:val="0"/>
            <w:vAlign w:val="center"/>
          </w:tcPr>
          <w:p>
            <w:pPr>
              <w:jc w:val="both"/>
              <w:rPr>
                <w:rFonts w:hint="eastAsia"/>
                <w:sz w:val="24"/>
                <w:szCs w:val="24"/>
              </w:rPr>
            </w:pPr>
          </w:p>
        </w:tc>
        <w:tc>
          <w:tcPr>
            <w:tcW w:w="1750" w:type="dxa"/>
            <w:noWrap w:val="0"/>
            <w:vAlign w:val="center"/>
          </w:tcPr>
          <w:p>
            <w:pPr>
              <w:jc w:val="both"/>
              <w:rPr>
                <w:rFonts w:hint="eastAsia"/>
                <w:sz w:val="24"/>
                <w:szCs w:val="24"/>
              </w:rPr>
            </w:pPr>
          </w:p>
        </w:tc>
        <w:tc>
          <w:tcPr>
            <w:tcW w:w="1620" w:type="dxa"/>
            <w:noWrap w:val="0"/>
            <w:vAlign w:val="center"/>
          </w:tcPr>
          <w:p>
            <w:pPr>
              <w:jc w:val="center"/>
              <w:rPr>
                <w:rFonts w:hint="eastAsia"/>
                <w:sz w:val="24"/>
                <w:szCs w:val="24"/>
              </w:rPr>
            </w:pPr>
          </w:p>
        </w:tc>
        <w:tc>
          <w:tcPr>
            <w:tcW w:w="675" w:type="dxa"/>
            <w:noWrap w:val="0"/>
            <w:vAlign w:val="center"/>
          </w:tcPr>
          <w:p>
            <w:pPr>
              <w:jc w:val="center"/>
              <w:rPr>
                <w:rFonts w:hint="eastAsia"/>
                <w:sz w:val="24"/>
                <w:szCs w:val="24"/>
              </w:rPr>
            </w:pPr>
            <w:r>
              <w:rPr>
                <w:rFonts w:hint="eastAsia" w:ascii="仿宋_GB2312" w:hAnsi="仿宋_GB2312" w:eastAsia="仿宋_GB2312" w:cs="仿宋_GB2312"/>
                <w:sz w:val="24"/>
                <w:szCs w:val="24"/>
              </w:rPr>
              <w:t>邮箱</w:t>
            </w:r>
          </w:p>
        </w:tc>
        <w:tc>
          <w:tcPr>
            <w:tcW w:w="203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77" w:type="dxa"/>
            <w:vMerge w:val="restar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会</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老</w:t>
            </w:r>
          </w:p>
          <w:p>
            <w:pPr>
              <w:jc w:val="center"/>
              <w:rPr>
                <w:rFonts w:hint="eastAsia" w:ascii="仿宋_GB2312" w:hAnsi="仿宋_GB2312" w:eastAsia="仿宋_GB2312" w:cs="仿宋_GB2312"/>
                <w:sz w:val="24"/>
                <w:szCs w:val="24"/>
              </w:rPr>
            </w:pPr>
          </w:p>
          <w:p>
            <w:pPr>
              <w:jc w:val="center"/>
              <w:rPr>
                <w:rFonts w:hint="eastAsia"/>
                <w:sz w:val="24"/>
                <w:szCs w:val="24"/>
              </w:rPr>
            </w:pPr>
            <w:r>
              <w:rPr>
                <w:rFonts w:hint="eastAsia" w:ascii="仿宋_GB2312" w:hAnsi="仿宋_GB2312" w:eastAsia="仿宋_GB2312" w:cs="仿宋_GB2312"/>
                <w:sz w:val="24"/>
                <w:szCs w:val="24"/>
              </w:rPr>
              <w:t>师</w:t>
            </w:r>
          </w:p>
        </w:tc>
        <w:tc>
          <w:tcPr>
            <w:tcW w:w="1178" w:type="dxa"/>
            <w:noWrap w:val="0"/>
            <w:vAlign w:val="center"/>
          </w:tcPr>
          <w:p>
            <w:pPr>
              <w:jc w:val="center"/>
              <w:rPr>
                <w:rFonts w:hint="eastAsia" w:eastAsia="宋体"/>
                <w:sz w:val="24"/>
                <w:szCs w:val="24"/>
                <w:lang w:val="en-US" w:eastAsia="zh-CN"/>
              </w:rPr>
            </w:pPr>
          </w:p>
        </w:tc>
        <w:tc>
          <w:tcPr>
            <w:tcW w:w="530" w:type="dxa"/>
            <w:noWrap w:val="0"/>
            <w:vAlign w:val="center"/>
          </w:tcPr>
          <w:p>
            <w:pPr>
              <w:jc w:val="center"/>
              <w:rPr>
                <w:rFonts w:hint="eastAsia"/>
                <w:sz w:val="24"/>
                <w:szCs w:val="24"/>
              </w:rPr>
            </w:pPr>
          </w:p>
        </w:tc>
        <w:tc>
          <w:tcPr>
            <w:tcW w:w="885" w:type="dxa"/>
            <w:noWrap w:val="0"/>
            <w:vAlign w:val="center"/>
          </w:tcPr>
          <w:p>
            <w:pPr>
              <w:jc w:val="both"/>
              <w:rPr>
                <w:rFonts w:hint="eastAsia" w:eastAsia="宋体"/>
                <w:sz w:val="24"/>
                <w:szCs w:val="24"/>
                <w:lang w:val="en-US" w:eastAsia="zh-CN"/>
              </w:rPr>
            </w:pPr>
          </w:p>
        </w:tc>
        <w:tc>
          <w:tcPr>
            <w:tcW w:w="1750" w:type="dxa"/>
            <w:noWrap w:val="0"/>
            <w:vAlign w:val="center"/>
          </w:tcPr>
          <w:p>
            <w:pPr>
              <w:jc w:val="both"/>
              <w:rPr>
                <w:rFonts w:hint="eastAsia" w:eastAsia="宋体"/>
                <w:sz w:val="24"/>
                <w:szCs w:val="24"/>
                <w:lang w:val="en-US" w:eastAsia="zh-CN"/>
              </w:rPr>
            </w:pPr>
          </w:p>
        </w:tc>
        <w:tc>
          <w:tcPr>
            <w:tcW w:w="1620" w:type="dxa"/>
            <w:noWrap w:val="0"/>
            <w:vAlign w:val="center"/>
          </w:tcPr>
          <w:p>
            <w:pPr>
              <w:jc w:val="both"/>
              <w:rPr>
                <w:rFonts w:hint="eastAsia" w:eastAsia="宋体"/>
                <w:sz w:val="24"/>
                <w:szCs w:val="24"/>
                <w:lang w:val="en-US" w:eastAsia="zh-CN"/>
              </w:rPr>
            </w:pPr>
          </w:p>
        </w:tc>
        <w:tc>
          <w:tcPr>
            <w:tcW w:w="2705" w:type="dxa"/>
            <w:gridSpan w:val="2"/>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77" w:type="dxa"/>
            <w:vMerge w:val="continue"/>
            <w:noWrap w:val="0"/>
            <w:vAlign w:val="center"/>
          </w:tcPr>
          <w:p>
            <w:pPr>
              <w:jc w:val="center"/>
              <w:rPr>
                <w:rFonts w:hint="eastAsia"/>
                <w:sz w:val="24"/>
                <w:szCs w:val="24"/>
              </w:rPr>
            </w:pPr>
          </w:p>
        </w:tc>
        <w:tc>
          <w:tcPr>
            <w:tcW w:w="1178" w:type="dxa"/>
            <w:noWrap w:val="0"/>
            <w:vAlign w:val="center"/>
          </w:tcPr>
          <w:p>
            <w:pPr>
              <w:jc w:val="both"/>
              <w:rPr>
                <w:rFonts w:hint="eastAsia" w:eastAsia="宋体"/>
                <w:sz w:val="24"/>
                <w:szCs w:val="24"/>
                <w:lang w:val="en-US" w:eastAsia="zh-CN"/>
              </w:rPr>
            </w:pPr>
          </w:p>
        </w:tc>
        <w:tc>
          <w:tcPr>
            <w:tcW w:w="530" w:type="dxa"/>
            <w:noWrap w:val="0"/>
            <w:vAlign w:val="center"/>
          </w:tcPr>
          <w:p>
            <w:pPr>
              <w:jc w:val="center"/>
              <w:rPr>
                <w:rFonts w:hint="eastAsia"/>
                <w:sz w:val="24"/>
                <w:szCs w:val="24"/>
              </w:rPr>
            </w:pPr>
          </w:p>
        </w:tc>
        <w:tc>
          <w:tcPr>
            <w:tcW w:w="885" w:type="dxa"/>
            <w:noWrap w:val="0"/>
            <w:vAlign w:val="center"/>
          </w:tcPr>
          <w:p>
            <w:pPr>
              <w:jc w:val="both"/>
              <w:rPr>
                <w:rFonts w:hint="eastAsia" w:eastAsia="宋体"/>
                <w:sz w:val="24"/>
                <w:szCs w:val="24"/>
                <w:lang w:val="en-US" w:eastAsia="zh-CN"/>
              </w:rPr>
            </w:pPr>
          </w:p>
        </w:tc>
        <w:tc>
          <w:tcPr>
            <w:tcW w:w="1750" w:type="dxa"/>
            <w:noWrap w:val="0"/>
            <w:vAlign w:val="center"/>
          </w:tcPr>
          <w:p>
            <w:pPr>
              <w:jc w:val="both"/>
              <w:rPr>
                <w:rFonts w:hint="eastAsia" w:eastAsia="宋体"/>
                <w:sz w:val="24"/>
                <w:szCs w:val="24"/>
                <w:lang w:val="en-US" w:eastAsia="zh-CN"/>
              </w:rPr>
            </w:pPr>
          </w:p>
        </w:tc>
        <w:tc>
          <w:tcPr>
            <w:tcW w:w="1620" w:type="dxa"/>
            <w:noWrap w:val="0"/>
            <w:vAlign w:val="center"/>
          </w:tcPr>
          <w:p>
            <w:pPr>
              <w:jc w:val="both"/>
              <w:rPr>
                <w:rFonts w:hint="eastAsia" w:eastAsia="宋体"/>
                <w:sz w:val="24"/>
                <w:szCs w:val="24"/>
                <w:lang w:val="en-US" w:eastAsia="zh-CN"/>
              </w:rPr>
            </w:pPr>
          </w:p>
        </w:tc>
        <w:tc>
          <w:tcPr>
            <w:tcW w:w="2705" w:type="dxa"/>
            <w:gridSpan w:val="2"/>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77" w:type="dxa"/>
            <w:vMerge w:val="continue"/>
            <w:noWrap w:val="0"/>
            <w:vAlign w:val="center"/>
          </w:tcPr>
          <w:p>
            <w:pPr>
              <w:jc w:val="center"/>
              <w:rPr>
                <w:rFonts w:hint="eastAsia"/>
                <w:sz w:val="24"/>
                <w:szCs w:val="24"/>
              </w:rPr>
            </w:pPr>
          </w:p>
        </w:tc>
        <w:tc>
          <w:tcPr>
            <w:tcW w:w="1178" w:type="dxa"/>
            <w:noWrap w:val="0"/>
            <w:vAlign w:val="center"/>
          </w:tcPr>
          <w:p>
            <w:pPr>
              <w:jc w:val="both"/>
              <w:rPr>
                <w:rFonts w:hint="eastAsia"/>
                <w:sz w:val="24"/>
                <w:szCs w:val="24"/>
              </w:rPr>
            </w:pPr>
          </w:p>
        </w:tc>
        <w:tc>
          <w:tcPr>
            <w:tcW w:w="530" w:type="dxa"/>
            <w:noWrap w:val="0"/>
            <w:vAlign w:val="center"/>
          </w:tcPr>
          <w:p>
            <w:pPr>
              <w:jc w:val="center"/>
              <w:rPr>
                <w:rFonts w:hint="eastAsia"/>
                <w:sz w:val="24"/>
                <w:szCs w:val="24"/>
              </w:rPr>
            </w:pPr>
          </w:p>
        </w:tc>
        <w:tc>
          <w:tcPr>
            <w:tcW w:w="885" w:type="dxa"/>
            <w:noWrap w:val="0"/>
            <w:vAlign w:val="center"/>
          </w:tcPr>
          <w:p>
            <w:pPr>
              <w:jc w:val="both"/>
              <w:rPr>
                <w:rFonts w:hint="eastAsia"/>
                <w:sz w:val="24"/>
                <w:szCs w:val="24"/>
              </w:rPr>
            </w:pPr>
          </w:p>
        </w:tc>
        <w:tc>
          <w:tcPr>
            <w:tcW w:w="1750" w:type="dxa"/>
            <w:noWrap w:val="0"/>
            <w:vAlign w:val="center"/>
          </w:tcPr>
          <w:p>
            <w:pPr>
              <w:jc w:val="center"/>
              <w:rPr>
                <w:rFonts w:hint="eastAsia"/>
                <w:sz w:val="24"/>
                <w:szCs w:val="24"/>
              </w:rPr>
            </w:pPr>
          </w:p>
        </w:tc>
        <w:tc>
          <w:tcPr>
            <w:tcW w:w="1620" w:type="dxa"/>
            <w:noWrap w:val="0"/>
            <w:vAlign w:val="center"/>
          </w:tcPr>
          <w:p>
            <w:pPr>
              <w:jc w:val="both"/>
              <w:rPr>
                <w:rFonts w:hint="eastAsia"/>
                <w:sz w:val="24"/>
                <w:szCs w:val="24"/>
              </w:rPr>
            </w:pPr>
          </w:p>
        </w:tc>
        <w:tc>
          <w:tcPr>
            <w:tcW w:w="2705" w:type="dxa"/>
            <w:gridSpan w:val="2"/>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77" w:type="dxa"/>
            <w:vMerge w:val="continue"/>
            <w:noWrap w:val="0"/>
            <w:vAlign w:val="center"/>
          </w:tcPr>
          <w:p>
            <w:pPr>
              <w:jc w:val="center"/>
              <w:rPr>
                <w:rFonts w:hint="eastAsia"/>
                <w:sz w:val="24"/>
                <w:szCs w:val="24"/>
              </w:rPr>
            </w:pPr>
          </w:p>
        </w:tc>
        <w:tc>
          <w:tcPr>
            <w:tcW w:w="1178" w:type="dxa"/>
            <w:noWrap w:val="0"/>
            <w:vAlign w:val="center"/>
          </w:tcPr>
          <w:p>
            <w:pPr>
              <w:jc w:val="center"/>
              <w:rPr>
                <w:rFonts w:hint="eastAsia"/>
                <w:sz w:val="24"/>
                <w:szCs w:val="24"/>
              </w:rPr>
            </w:pPr>
          </w:p>
        </w:tc>
        <w:tc>
          <w:tcPr>
            <w:tcW w:w="530" w:type="dxa"/>
            <w:noWrap w:val="0"/>
            <w:vAlign w:val="center"/>
          </w:tcPr>
          <w:p>
            <w:pPr>
              <w:jc w:val="center"/>
              <w:rPr>
                <w:rFonts w:hint="eastAsia"/>
                <w:sz w:val="24"/>
                <w:szCs w:val="24"/>
              </w:rPr>
            </w:pPr>
          </w:p>
        </w:tc>
        <w:tc>
          <w:tcPr>
            <w:tcW w:w="885" w:type="dxa"/>
            <w:noWrap w:val="0"/>
            <w:vAlign w:val="center"/>
          </w:tcPr>
          <w:p>
            <w:pPr>
              <w:jc w:val="center"/>
              <w:rPr>
                <w:rFonts w:hint="eastAsia"/>
                <w:sz w:val="24"/>
                <w:szCs w:val="24"/>
              </w:rPr>
            </w:pPr>
          </w:p>
        </w:tc>
        <w:tc>
          <w:tcPr>
            <w:tcW w:w="1750"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p>
        </w:tc>
        <w:tc>
          <w:tcPr>
            <w:tcW w:w="2705" w:type="dxa"/>
            <w:gridSpan w:val="2"/>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977"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建议与</w:t>
            </w:r>
          </w:p>
          <w:p>
            <w:pPr>
              <w:jc w:val="center"/>
              <w:rPr>
                <w:rFonts w:hint="eastAsia"/>
                <w:sz w:val="24"/>
                <w:szCs w:val="24"/>
              </w:rPr>
            </w:pPr>
            <w:r>
              <w:rPr>
                <w:rFonts w:hint="eastAsia" w:ascii="仿宋_GB2312" w:hAnsi="仿宋_GB2312" w:eastAsia="仿宋_GB2312" w:cs="仿宋_GB2312"/>
                <w:sz w:val="24"/>
                <w:szCs w:val="24"/>
              </w:rPr>
              <w:t>征询</w:t>
            </w:r>
          </w:p>
        </w:tc>
        <w:tc>
          <w:tcPr>
            <w:tcW w:w="8668" w:type="dxa"/>
            <w:gridSpan w:val="7"/>
            <w:noWrap w:val="0"/>
            <w:vAlign w:val="center"/>
          </w:tcPr>
          <w:p>
            <w:pPr>
              <w:rPr>
                <w:rFonts w:hint="eastAsia"/>
                <w:sz w:val="24"/>
                <w:szCs w:val="24"/>
              </w:rPr>
            </w:pPr>
            <w:r>
              <w:rPr>
                <w:rFonts w:hint="eastAsia" w:ascii="仿宋_GB2312" w:eastAsia="仿宋_GB2312" w:cs="仿宋_GB2312"/>
                <w:sz w:val="24"/>
              </w:rPr>
              <w:t>对讲课议题的建议及发言材料：（可另附纸传真至会务组，或电子版发至报名邮箱）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977"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汇款</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方式</w:t>
            </w:r>
          </w:p>
        </w:tc>
        <w:tc>
          <w:tcPr>
            <w:tcW w:w="8668" w:type="dxa"/>
            <w:gridSpan w:val="7"/>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开户银行：中国工商银行北京房山支行良乡分理处</w:t>
            </w:r>
          </w:p>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帐户名称：北京成长智慧教育科技有限公司  </w:t>
            </w:r>
          </w:p>
          <w:p>
            <w:pPr>
              <w:rPr>
                <w:rFonts w:hint="eastAsia" w:ascii="仿宋_GB2312" w:eastAsia="仿宋_GB2312" w:cs="仿宋_GB2312"/>
                <w:sz w:val="24"/>
              </w:rPr>
            </w:pPr>
            <w:r>
              <w:rPr>
                <w:rFonts w:hint="eastAsia" w:ascii="仿宋_GB2312" w:hAnsi="仿宋_GB2312" w:eastAsia="仿宋_GB2312" w:cs="仿宋_GB2312"/>
                <w:sz w:val="24"/>
              </w:rPr>
              <w:t xml:space="preserve">帐    号：0200 3169 0920 0012 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77"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住宿</w:t>
            </w:r>
          </w:p>
          <w:p>
            <w:pPr>
              <w:jc w:val="center"/>
              <w:rPr>
                <w:rFonts w:hint="eastAsia"/>
                <w:sz w:val="24"/>
                <w:szCs w:val="24"/>
              </w:rPr>
            </w:pPr>
            <w:r>
              <w:rPr>
                <w:rFonts w:hint="eastAsia" w:ascii="仿宋_GB2312" w:hAnsi="仿宋_GB2312" w:eastAsia="仿宋_GB2312" w:cs="仿宋_GB2312"/>
                <w:sz w:val="24"/>
                <w:szCs w:val="24"/>
              </w:rPr>
              <w:t>要求</w:t>
            </w:r>
          </w:p>
        </w:tc>
        <w:tc>
          <w:tcPr>
            <w:tcW w:w="8668" w:type="dxa"/>
            <w:gridSpan w:val="7"/>
            <w:noWrap w:val="0"/>
            <w:vAlign w:val="center"/>
          </w:tcPr>
          <w:p>
            <w:pPr>
              <w:spacing w:line="360" w:lineRule="auto"/>
              <w:rPr>
                <w:rFonts w:hint="eastAsia" w:ascii="仿宋_GB2312" w:eastAsia="仿宋_GB2312" w:cs="仿宋_GB2312"/>
                <w:sz w:val="24"/>
                <w:lang w:val="en-US" w:eastAsia="zh-CN"/>
              </w:rPr>
            </w:pPr>
            <w:r>
              <w:rPr>
                <w:rFonts w:hint="eastAsia" w:ascii="仿宋_GB2312" w:eastAsia="仿宋_GB2312" w:cs="仿宋_GB2312"/>
                <w:sz w:val="24"/>
              </w:rPr>
              <w:t>会议地点：</w:t>
            </w:r>
            <w:r>
              <w:rPr>
                <w:rFonts w:hint="eastAsia" w:ascii="仿宋_GB2312" w:eastAsia="仿宋_GB2312" w:cs="仿宋_GB2312"/>
                <w:sz w:val="24"/>
                <w:lang w:val="en-US" w:eastAsia="zh-CN"/>
              </w:rPr>
              <w:t>杭州</w:t>
            </w:r>
          </w:p>
          <w:p>
            <w:pPr>
              <w:spacing w:line="360" w:lineRule="auto"/>
              <w:rPr>
                <w:rFonts w:ascii="仿宋_GB2312" w:eastAsia="仿宋_GB2312" w:cs="仿宋_GB2312"/>
                <w:sz w:val="24"/>
                <w:u w:val="single"/>
              </w:rPr>
            </w:pPr>
            <w:r>
              <w:rPr>
                <w:rFonts w:hint="eastAsia" w:ascii="仿宋_GB2312" w:eastAsia="仿宋_GB2312" w:cs="仿宋_GB2312"/>
                <w:sz w:val="24"/>
              </w:rPr>
              <w:t>若预定酒店，请注明：入住时间</w:t>
            </w:r>
            <w:r>
              <w:rPr>
                <w:rFonts w:ascii="仿宋_GB2312" w:eastAsia="仿宋_GB2312" w:cs="仿宋_GB2312"/>
                <w:sz w:val="24"/>
                <w:u w:val="single"/>
              </w:rPr>
              <w:t xml:space="preserve">           </w:t>
            </w:r>
            <w:r>
              <w:rPr>
                <w:rFonts w:hint="eastAsia" w:ascii="仿宋_GB2312" w:eastAsia="仿宋_GB2312" w:cs="仿宋_GB2312"/>
                <w:sz w:val="24"/>
              </w:rPr>
              <w:t>入住</w:t>
            </w:r>
            <w:r>
              <w:rPr>
                <w:rFonts w:hint="eastAsia" w:ascii="仿宋_GB2312" w:eastAsia="仿宋_GB2312" w:cs="仿宋_GB2312"/>
                <w:sz w:val="24"/>
                <w:lang w:val="en-US" w:eastAsia="zh-CN"/>
              </w:rPr>
              <w:t xml:space="preserve">  </w:t>
            </w:r>
            <w:r>
              <w:rPr>
                <w:rFonts w:hint="eastAsia" w:ascii="仿宋_GB2312" w:eastAsia="仿宋_GB2312" w:cs="仿宋_GB2312"/>
                <w:sz w:val="24"/>
              </w:rPr>
              <w:t>天数</w:t>
            </w:r>
            <w:r>
              <w:rPr>
                <w:rFonts w:ascii="仿宋_GB2312" w:eastAsia="仿宋_GB2312" w:cs="仿宋_GB2312"/>
                <w:sz w:val="24"/>
                <w:u w:val="single"/>
              </w:rPr>
              <w:t xml:space="preserve">         </w:t>
            </w:r>
          </w:p>
          <w:p>
            <w:pPr>
              <w:jc w:val="center"/>
              <w:rPr>
                <w:rFonts w:hint="eastAsia"/>
                <w:sz w:val="24"/>
                <w:szCs w:val="24"/>
              </w:rPr>
            </w:pPr>
            <w:r>
              <w:rPr>
                <w:rFonts w:hint="eastAsia" w:ascii="仿宋_GB2312" w:eastAsia="仿宋_GB2312" w:cs="仿宋_GB2312"/>
                <w:sz w:val="24"/>
              </w:rPr>
              <w:t>预定间数</w:t>
            </w:r>
            <w:r>
              <w:rPr>
                <w:rFonts w:ascii="仿宋_GB2312" w:eastAsia="仿宋_GB2312" w:cs="仿宋_GB2312"/>
                <w:sz w:val="24"/>
                <w:u w:val="single"/>
              </w:rPr>
              <w:t xml:space="preserve">        </w:t>
            </w:r>
            <w:r>
              <w:rPr>
                <w:rFonts w:hint="eastAsia" w:ascii="仿宋_GB2312" w:eastAsia="仿宋_GB2312" w:cs="仿宋_GB2312"/>
                <w:sz w:val="24"/>
              </w:rPr>
              <w:t>（预定双人间□</w:t>
            </w:r>
            <w:r>
              <w:rPr>
                <w:rFonts w:ascii="仿宋_GB2312" w:eastAsia="仿宋_GB2312" w:cs="仿宋_GB2312"/>
                <w:sz w:val="24"/>
              </w:rPr>
              <w:t>,</w:t>
            </w:r>
            <w:r>
              <w:rPr>
                <w:rFonts w:hint="eastAsia" w:ascii="仿宋_GB2312" w:eastAsia="仿宋_GB2312" w:cs="仿宋_GB2312"/>
                <w:sz w:val="24"/>
              </w:rPr>
              <w:t>单人间□，可否合住□）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977"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w:t>
            </w:r>
          </w:p>
          <w:p>
            <w:pPr>
              <w:jc w:val="center"/>
              <w:rPr>
                <w:rFonts w:hint="eastAsia"/>
                <w:sz w:val="24"/>
                <w:szCs w:val="24"/>
              </w:rPr>
            </w:pPr>
            <w:r>
              <w:rPr>
                <w:rFonts w:hint="eastAsia" w:ascii="仿宋_GB2312" w:hAnsi="仿宋_GB2312" w:eastAsia="仿宋_GB2312" w:cs="仿宋_GB2312"/>
                <w:sz w:val="24"/>
                <w:szCs w:val="24"/>
              </w:rPr>
              <w:t>意见</w:t>
            </w:r>
          </w:p>
        </w:tc>
        <w:tc>
          <w:tcPr>
            <w:tcW w:w="8668" w:type="dxa"/>
            <w:gridSpan w:val="7"/>
            <w:noWrap w:val="0"/>
            <w:vAlign w:val="center"/>
          </w:tcPr>
          <w:p>
            <w:pPr>
              <w:jc w:val="left"/>
              <w:rPr>
                <w:rFonts w:hint="eastAsia" w:ascii="仿宋_GB2312" w:eastAsia="仿宋_GB2312" w:cs="仿宋_GB2312"/>
                <w:sz w:val="24"/>
              </w:rPr>
            </w:pPr>
            <w:r>
              <w:rPr>
                <w:rFonts w:hint="eastAsia" w:ascii="仿宋_GB2312" w:hAnsi="仿宋_GB2312" w:eastAsia="仿宋_GB2312" w:cs="仿宋_GB2312"/>
                <w:szCs w:val="21"/>
              </w:rPr>
              <w:t xml:space="preserve">    </w:t>
            </w:r>
            <w:r>
              <w:rPr>
                <w:rFonts w:hint="eastAsia" w:ascii="仿宋_GB2312" w:eastAsia="仿宋_GB2312" w:cs="仿宋_GB2312"/>
                <w:sz w:val="24"/>
              </w:rPr>
              <w:t xml:space="preserve">我单位同意选派以上 </w:t>
            </w:r>
            <w:r>
              <w:rPr>
                <w:rFonts w:hint="eastAsia" w:ascii="仿宋_GB2312" w:eastAsia="仿宋_GB2312" w:cs="仿宋_GB2312"/>
                <w:sz w:val="24"/>
                <w:lang w:val="en-US" w:eastAsia="zh-CN"/>
              </w:rPr>
              <w:t xml:space="preserve">  </w:t>
            </w:r>
            <w:r>
              <w:rPr>
                <w:rFonts w:hint="eastAsia" w:ascii="仿宋_GB2312" w:eastAsia="仿宋_GB2312" w:cs="仿宋_GB2312"/>
                <w:sz w:val="24"/>
              </w:rPr>
              <w:t xml:space="preserve">位老师参加  </w:t>
            </w:r>
            <w:r>
              <w:rPr>
                <w:rFonts w:hint="eastAsia" w:ascii="仿宋_GB2312" w:eastAsia="仿宋_GB2312" w:cs="仿宋_GB2312"/>
                <w:sz w:val="24"/>
                <w:lang w:val="en-US" w:eastAsia="zh-CN"/>
              </w:rPr>
              <w:t>5</w:t>
            </w:r>
            <w:r>
              <w:rPr>
                <w:rFonts w:hint="eastAsia" w:ascii="仿宋_GB2312" w:eastAsia="仿宋_GB2312" w:cs="仿宋_GB2312"/>
                <w:sz w:val="24"/>
              </w:rPr>
              <w:t>月</w:t>
            </w:r>
            <w:r>
              <w:rPr>
                <w:rFonts w:hint="eastAsia" w:ascii="仿宋_GB2312" w:eastAsia="仿宋_GB2312" w:cs="仿宋_GB2312"/>
                <w:sz w:val="24"/>
                <w:lang w:val="en-US" w:eastAsia="zh-CN"/>
              </w:rPr>
              <w:t>12</w:t>
            </w:r>
            <w:r>
              <w:rPr>
                <w:rFonts w:hint="eastAsia" w:ascii="仿宋_GB2312" w:eastAsia="仿宋_GB2312" w:cs="仿宋_GB2312"/>
                <w:sz w:val="24"/>
              </w:rPr>
              <w:t xml:space="preserve">  日“高考志愿咨询师岗位能力培训班”。</w:t>
            </w:r>
          </w:p>
          <w:p>
            <w:pPr>
              <w:jc w:val="left"/>
              <w:rPr>
                <w:rFonts w:hint="eastAsia" w:ascii="仿宋_GB2312" w:eastAsia="仿宋_GB2312" w:cs="仿宋_GB2312"/>
                <w:sz w:val="24"/>
              </w:rPr>
            </w:pPr>
            <w:r>
              <w:rPr>
                <w:rFonts w:hint="eastAsia" w:ascii="仿宋_GB2312" w:eastAsia="仿宋_GB2312" w:cs="仿宋_GB2312"/>
                <w:sz w:val="24"/>
              </w:rPr>
              <w:t xml:space="preserve">                                       单位盖章</w:t>
            </w:r>
          </w:p>
          <w:p>
            <w:pPr>
              <w:jc w:val="left"/>
              <w:rPr>
                <w:rFonts w:hint="eastAsia"/>
                <w:szCs w:val="21"/>
              </w:rPr>
            </w:pPr>
            <w:r>
              <w:rPr>
                <w:rFonts w:hint="eastAsia" w:ascii="仿宋_GB2312" w:eastAsia="仿宋_GB2312" w:cs="仿宋_GB2312"/>
                <w:sz w:val="24"/>
              </w:rPr>
              <w:t xml:space="preserve">                                     </w:t>
            </w:r>
            <w:r>
              <w:rPr>
                <w:rFonts w:hint="eastAsia" w:ascii="仿宋_GB2312" w:eastAsia="仿宋_GB2312" w:cs="仿宋_GB2312"/>
                <w:sz w:val="24"/>
                <w:lang w:val="en-US" w:eastAsia="zh-CN"/>
              </w:rPr>
              <w:t>2019</w:t>
            </w:r>
            <w:r>
              <w:rPr>
                <w:rFonts w:hint="eastAsia" w:ascii="仿宋_GB2312" w:eastAsia="仿宋_GB2312" w:cs="仿宋_GB2312"/>
                <w:sz w:val="24"/>
              </w:rPr>
              <w:t xml:space="preserve"> 年  月 </w:t>
            </w:r>
            <w:r>
              <w:rPr>
                <w:rFonts w:hint="eastAsia" w:ascii="仿宋_GB2312" w:eastAsia="仿宋_GB2312" w:cs="仿宋_GB2312"/>
                <w:sz w:val="24"/>
                <w:lang w:val="en-US" w:eastAsia="zh-CN"/>
              </w:rPr>
              <w:t xml:space="preserve"> </w:t>
            </w:r>
            <w:r>
              <w:rPr>
                <w:rFonts w:hint="eastAsia" w:ascii="仿宋_GB2312" w:eastAsia="仿宋_GB2312" w:cs="仿宋_GB2312"/>
                <w:sz w:val="24"/>
              </w:rPr>
              <w:t xml:space="preserve">日     </w:t>
            </w:r>
            <w:r>
              <w:rPr>
                <w:rFonts w:hint="eastAsia"/>
                <w:szCs w:val="21"/>
              </w:rPr>
              <w:t xml:space="preserve">        </w:t>
            </w:r>
          </w:p>
        </w:tc>
      </w:tr>
    </w:tbl>
    <w:p/>
    <w:sectPr>
      <w:pgSz w:w="11906" w:h="16838"/>
      <w:pgMar w:top="1270" w:right="1274" w:bottom="1270" w:left="12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D68F5"/>
    <w:multiLevelType w:val="singleLevel"/>
    <w:tmpl w:val="589D68F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A0"/>
    <w:rsid w:val="00045748"/>
    <w:rsid w:val="00081B9B"/>
    <w:rsid w:val="00094687"/>
    <w:rsid w:val="000B583B"/>
    <w:rsid w:val="000D1970"/>
    <w:rsid w:val="0011012E"/>
    <w:rsid w:val="00131442"/>
    <w:rsid w:val="001A1C95"/>
    <w:rsid w:val="001A7103"/>
    <w:rsid w:val="001B64E7"/>
    <w:rsid w:val="001D6A13"/>
    <w:rsid w:val="00216B72"/>
    <w:rsid w:val="002266A0"/>
    <w:rsid w:val="003B6180"/>
    <w:rsid w:val="003D6C30"/>
    <w:rsid w:val="003D7A05"/>
    <w:rsid w:val="00422E38"/>
    <w:rsid w:val="0042677B"/>
    <w:rsid w:val="004F2F9C"/>
    <w:rsid w:val="00505826"/>
    <w:rsid w:val="00515BE2"/>
    <w:rsid w:val="00527A87"/>
    <w:rsid w:val="005334D6"/>
    <w:rsid w:val="00544CEB"/>
    <w:rsid w:val="00564985"/>
    <w:rsid w:val="00621A6A"/>
    <w:rsid w:val="00636951"/>
    <w:rsid w:val="007B2E31"/>
    <w:rsid w:val="007B5F6C"/>
    <w:rsid w:val="00845D4F"/>
    <w:rsid w:val="00896F92"/>
    <w:rsid w:val="008E6FB1"/>
    <w:rsid w:val="009A1A63"/>
    <w:rsid w:val="00A277F9"/>
    <w:rsid w:val="00AA02F4"/>
    <w:rsid w:val="00B701F7"/>
    <w:rsid w:val="00C34114"/>
    <w:rsid w:val="00C459A9"/>
    <w:rsid w:val="00C46C0F"/>
    <w:rsid w:val="00CE7576"/>
    <w:rsid w:val="00D15423"/>
    <w:rsid w:val="00D64D4D"/>
    <w:rsid w:val="00DD269A"/>
    <w:rsid w:val="00DF465D"/>
    <w:rsid w:val="00E54E7A"/>
    <w:rsid w:val="00F01C7F"/>
    <w:rsid w:val="00F27641"/>
    <w:rsid w:val="00F30691"/>
    <w:rsid w:val="00FC152E"/>
    <w:rsid w:val="01107C2B"/>
    <w:rsid w:val="0130699F"/>
    <w:rsid w:val="01772D41"/>
    <w:rsid w:val="023801D6"/>
    <w:rsid w:val="03BB7518"/>
    <w:rsid w:val="03D86506"/>
    <w:rsid w:val="048C7679"/>
    <w:rsid w:val="058A4660"/>
    <w:rsid w:val="05A818B1"/>
    <w:rsid w:val="06690572"/>
    <w:rsid w:val="09FB15BC"/>
    <w:rsid w:val="0CA35FDC"/>
    <w:rsid w:val="0E3D622F"/>
    <w:rsid w:val="11122829"/>
    <w:rsid w:val="124E2A89"/>
    <w:rsid w:val="12F85F32"/>
    <w:rsid w:val="130876A7"/>
    <w:rsid w:val="13FF65B6"/>
    <w:rsid w:val="152D1B5C"/>
    <w:rsid w:val="15FF044E"/>
    <w:rsid w:val="165966B6"/>
    <w:rsid w:val="18BA0AEE"/>
    <w:rsid w:val="193C6348"/>
    <w:rsid w:val="1BED024F"/>
    <w:rsid w:val="1D0865F2"/>
    <w:rsid w:val="1D89742B"/>
    <w:rsid w:val="1E9B3389"/>
    <w:rsid w:val="1ED049DC"/>
    <w:rsid w:val="1F15338E"/>
    <w:rsid w:val="22263E2C"/>
    <w:rsid w:val="24CA441C"/>
    <w:rsid w:val="25B1454C"/>
    <w:rsid w:val="266F57DF"/>
    <w:rsid w:val="268C4AB5"/>
    <w:rsid w:val="27B17836"/>
    <w:rsid w:val="29C528E5"/>
    <w:rsid w:val="29DB28BE"/>
    <w:rsid w:val="2A096EF4"/>
    <w:rsid w:val="2BB0592C"/>
    <w:rsid w:val="2E730DE0"/>
    <w:rsid w:val="2F1D6B38"/>
    <w:rsid w:val="2F486328"/>
    <w:rsid w:val="30802088"/>
    <w:rsid w:val="31230CAC"/>
    <w:rsid w:val="312460A5"/>
    <w:rsid w:val="31427224"/>
    <w:rsid w:val="31E50192"/>
    <w:rsid w:val="32376EB2"/>
    <w:rsid w:val="3244044E"/>
    <w:rsid w:val="32CC71D1"/>
    <w:rsid w:val="33C441E1"/>
    <w:rsid w:val="384C4046"/>
    <w:rsid w:val="38DE5537"/>
    <w:rsid w:val="39166D04"/>
    <w:rsid w:val="397E2009"/>
    <w:rsid w:val="3D761672"/>
    <w:rsid w:val="410E5B5D"/>
    <w:rsid w:val="41497FEA"/>
    <w:rsid w:val="42D543C9"/>
    <w:rsid w:val="43EC58DA"/>
    <w:rsid w:val="44B610B7"/>
    <w:rsid w:val="4685378B"/>
    <w:rsid w:val="472F49EE"/>
    <w:rsid w:val="47B379F2"/>
    <w:rsid w:val="4A3D5628"/>
    <w:rsid w:val="4CF82556"/>
    <w:rsid w:val="4E077249"/>
    <w:rsid w:val="4E177F34"/>
    <w:rsid w:val="4E313E66"/>
    <w:rsid w:val="4E4E73A7"/>
    <w:rsid w:val="4E555FB7"/>
    <w:rsid w:val="4EF75743"/>
    <w:rsid w:val="4EF87158"/>
    <w:rsid w:val="4F691A08"/>
    <w:rsid w:val="500412E3"/>
    <w:rsid w:val="51B90996"/>
    <w:rsid w:val="52EE216D"/>
    <w:rsid w:val="54A5301D"/>
    <w:rsid w:val="550F7471"/>
    <w:rsid w:val="55ED3109"/>
    <w:rsid w:val="58671A65"/>
    <w:rsid w:val="593352C2"/>
    <w:rsid w:val="5AEE7AC8"/>
    <w:rsid w:val="5D027D5C"/>
    <w:rsid w:val="60F676DC"/>
    <w:rsid w:val="61D21C9A"/>
    <w:rsid w:val="62C86C44"/>
    <w:rsid w:val="65AF6EE2"/>
    <w:rsid w:val="65BE119E"/>
    <w:rsid w:val="66E32957"/>
    <w:rsid w:val="67E53502"/>
    <w:rsid w:val="68C95AB6"/>
    <w:rsid w:val="69342E7D"/>
    <w:rsid w:val="6A4D0225"/>
    <w:rsid w:val="6C073ACF"/>
    <w:rsid w:val="6F04799A"/>
    <w:rsid w:val="6F3E61B9"/>
    <w:rsid w:val="6F741EA4"/>
    <w:rsid w:val="6F7B597A"/>
    <w:rsid w:val="6F83227B"/>
    <w:rsid w:val="705A2DF3"/>
    <w:rsid w:val="70871527"/>
    <w:rsid w:val="71C12E1F"/>
    <w:rsid w:val="71FE067D"/>
    <w:rsid w:val="725D2CC7"/>
    <w:rsid w:val="74AE30F7"/>
    <w:rsid w:val="759D48D2"/>
    <w:rsid w:val="764823CD"/>
    <w:rsid w:val="7AE75439"/>
    <w:rsid w:val="7CD15255"/>
    <w:rsid w:val="7DB51CFC"/>
    <w:rsid w:val="7E344549"/>
    <w:rsid w:val="7EA37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4"/>
    <w:basedOn w:val="1"/>
    <w:next w:val="1"/>
    <w:unhideWhenUsed/>
    <w:qFormat/>
    <w:uiPriority w:val="9"/>
    <w:pPr>
      <w:spacing w:beforeAutospacing="1" w:afterAutospacing="1"/>
      <w:jc w:val="left"/>
      <w:outlineLvl w:val="3"/>
    </w:pPr>
    <w:rPr>
      <w:rFonts w:hint="eastAsia" w:ascii="宋体" w:hAnsi="宋体" w:eastAsia="宋体" w:cs="Times New Roman"/>
      <w:b/>
      <w:kern w:val="0"/>
      <w:sz w:val="24"/>
      <w:szCs w:val="24"/>
    </w:rPr>
  </w:style>
  <w:style w:type="character" w:default="1" w:styleId="10">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0"/>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FollowedHyperlink"/>
    <w:basedOn w:val="10"/>
    <w:semiHidden/>
    <w:unhideWhenUsed/>
    <w:qFormat/>
    <w:uiPriority w:val="99"/>
    <w:rPr>
      <w:color w:val="333333"/>
      <w:u w:val="none"/>
    </w:rPr>
  </w:style>
  <w:style w:type="character" w:styleId="13">
    <w:name w:val="Emphasis"/>
    <w:basedOn w:val="10"/>
    <w:qFormat/>
    <w:uiPriority w:val="20"/>
    <w:rPr>
      <w:i/>
      <w:iCs/>
    </w:rPr>
  </w:style>
  <w:style w:type="character" w:styleId="14">
    <w:name w:val="Hyperlink"/>
    <w:basedOn w:val="10"/>
    <w:unhideWhenUsed/>
    <w:qFormat/>
    <w:uiPriority w:val="99"/>
    <w:rPr>
      <w:color w:val="0000FF"/>
      <w:u w:val="single"/>
    </w:r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标题 2 Char"/>
    <w:basedOn w:val="10"/>
    <w:link w:val="2"/>
    <w:qFormat/>
    <w:uiPriority w:val="9"/>
    <w:rPr>
      <w:rFonts w:ascii="宋体" w:hAnsi="宋体" w:eastAsia="宋体" w:cs="宋体"/>
      <w:b/>
      <w:bCs/>
      <w:kern w:val="0"/>
      <w:sz w:val="36"/>
      <w:szCs w:val="36"/>
    </w:rPr>
  </w:style>
  <w:style w:type="character" w:customStyle="1" w:styleId="18">
    <w:name w:val="apple-converted-space"/>
    <w:basedOn w:val="10"/>
    <w:qFormat/>
    <w:uiPriority w:val="0"/>
  </w:style>
  <w:style w:type="character" w:customStyle="1" w:styleId="19">
    <w:name w:val="praise_num"/>
    <w:basedOn w:val="10"/>
    <w:qFormat/>
    <w:uiPriority w:val="0"/>
  </w:style>
  <w:style w:type="character" w:customStyle="1" w:styleId="20">
    <w:name w:val="批注框文本 Char"/>
    <w:basedOn w:val="10"/>
    <w:link w:val="4"/>
    <w:semiHidden/>
    <w:qFormat/>
    <w:uiPriority w:val="99"/>
    <w:rPr>
      <w:sz w:val="18"/>
      <w:szCs w:val="18"/>
    </w:rPr>
  </w:style>
  <w:style w:type="character" w:customStyle="1" w:styleId="21">
    <w:name w:val="txt-block gray"/>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02444D-23CC-4C2E-B501-98AA0E362FAC}">
  <ds:schemaRefs/>
</ds:datastoreItem>
</file>

<file path=docProps/app.xml><?xml version="1.0" encoding="utf-8"?>
<Properties xmlns="http://schemas.openxmlformats.org/officeDocument/2006/extended-properties" xmlns:vt="http://schemas.openxmlformats.org/officeDocument/2006/docPropsVTypes">
  <Template>Normal</Template>
  <Pages>9</Pages>
  <Words>901</Words>
  <Characters>5136</Characters>
  <Lines>42</Lines>
  <Paragraphs>12</Paragraphs>
  <TotalTime>1</TotalTime>
  <ScaleCrop>false</ScaleCrop>
  <LinksUpToDate>false</LinksUpToDate>
  <CharactersWithSpaces>6025</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2017-11-30T03:14:00Z</dcterms:created>
  <dc:creator>mac</dc:creator>
  <cp:lastModifiedBy>PC</cp:lastModifiedBy>
  <dcterms:modified xsi:type="dcterms:W3CDTF">2019-04-09T02:44:16Z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